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FD74A" w14:textId="427082AD" w:rsidR="00320FED" w:rsidRPr="00B5378F" w:rsidRDefault="00AB2AB5" w:rsidP="00AB2AB5">
      <w:pPr>
        <w:pStyle w:val="Heading1"/>
        <w:rPr>
          <w:rFonts w:ascii="Segoe UI" w:hAnsi="Segoe UI" w:cs="Segoe UI"/>
          <w:lang w:eastAsia="en-GB"/>
        </w:rPr>
      </w:pPr>
      <w:proofErr w:type="spellStart"/>
      <w:r w:rsidRPr="00B5378F">
        <w:rPr>
          <w:rFonts w:ascii="Segoe UI" w:hAnsi="Segoe UI" w:cs="Segoe UI"/>
          <w:lang w:eastAsia="en-GB"/>
        </w:rPr>
        <w:t>Poppleville</w:t>
      </w:r>
      <w:proofErr w:type="spellEnd"/>
      <w:r w:rsidRPr="00B5378F">
        <w:rPr>
          <w:rFonts w:ascii="Segoe UI" w:hAnsi="Segoe UI" w:cs="Segoe UI"/>
          <w:lang w:eastAsia="en-GB"/>
        </w:rPr>
        <w:t xml:space="preserve"> University Curriculum Review to Reduce the Awarding Gap between White and Ethnic Minority students</w:t>
      </w:r>
    </w:p>
    <w:p w14:paraId="4169BB65" w14:textId="1F632693" w:rsidR="00AB2AB5" w:rsidRPr="00B5378F" w:rsidRDefault="00AB2AB5" w:rsidP="00AB2AB5">
      <w:pPr>
        <w:pStyle w:val="Heading2"/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Description</w:t>
      </w:r>
    </w:p>
    <w:p w14:paraId="27C2BF1D" w14:textId="648C82FA" w:rsidR="00BC32B2" w:rsidRPr="00B5378F" w:rsidRDefault="00AB2AB5" w:rsidP="00BC32B2">
      <w:pPr>
        <w:rPr>
          <w:rFonts w:ascii="Segoe UI" w:eastAsia="Times New Roman" w:hAnsi="Segoe UI" w:cs="Segoe UI"/>
          <w:lang w:eastAsia="en-GB"/>
        </w:rPr>
      </w:pPr>
      <w:proofErr w:type="spellStart"/>
      <w:r w:rsidRPr="00B5378F">
        <w:rPr>
          <w:rFonts w:ascii="Segoe UI" w:hAnsi="Segoe UI" w:cs="Segoe UI"/>
          <w:lang w:eastAsia="en-GB"/>
        </w:rPr>
        <w:t>Poppleville</w:t>
      </w:r>
      <w:proofErr w:type="spellEnd"/>
      <w:r w:rsidRPr="00B5378F">
        <w:rPr>
          <w:rFonts w:ascii="Segoe UI" w:hAnsi="Segoe UI" w:cs="Segoe UI"/>
          <w:lang w:eastAsia="en-GB"/>
        </w:rPr>
        <w:t xml:space="preserve"> University is a socially and culturally diverse university.  It has inclusive entry requirements accepting a range of qualifications and experience, and recruits strongly from the locality and the region.  It offers a range of professional and vocational programmes</w:t>
      </w:r>
      <w:r w:rsidR="00BC32B2" w:rsidRPr="00B5378F">
        <w:rPr>
          <w:rFonts w:ascii="Segoe UI" w:hAnsi="Segoe UI" w:cs="Segoe UI"/>
          <w:lang w:eastAsia="en-GB"/>
        </w:rPr>
        <w:t>, which contributes to positive graduate outcomes overall.  It has identified an awarding gap and progression gap between White and Black students, which is unexplained.</w:t>
      </w:r>
      <w:r w:rsidR="00BC32B2" w:rsidRPr="00B5378F">
        <w:rPr>
          <w:rFonts w:ascii="Segoe UI" w:eastAsia="Times New Roman" w:hAnsi="Segoe UI" w:cs="Segoe UI"/>
          <w:color w:val="7030A0"/>
          <w:lang w:val="en-US" w:eastAsia="en-GB"/>
        </w:rPr>
        <w:t xml:space="preserve"> </w:t>
      </w:r>
      <w:r w:rsidR="00BC32B2" w:rsidRPr="00B5378F">
        <w:rPr>
          <w:rFonts w:ascii="Segoe UI" w:eastAsia="Times New Roman" w:hAnsi="Segoe UI" w:cs="Segoe UI"/>
          <w:lang w:val="en-US" w:eastAsia="en-GB"/>
        </w:rPr>
        <w:t>Having completed a strategic review, you believe the gap is there because many BAME students feel like ‘fish out of water’ in the university.  A range of measures will be introduced to address this, one of which is to:</w:t>
      </w:r>
    </w:p>
    <w:p w14:paraId="0C0BFA2D" w14:textId="459B9074" w:rsidR="00BC32B2" w:rsidRPr="00B5378F" w:rsidRDefault="00BC32B2" w:rsidP="00BC32B2">
      <w:p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val="en-US" w:eastAsia="en-GB"/>
        </w:rPr>
        <w:t xml:space="preserve">Review the curriculum to include a broader, global perspective which will make the curriculum more relevant for BAME students </w:t>
      </w:r>
      <w:proofErr w:type="gramStart"/>
      <w:r w:rsidRPr="00B5378F">
        <w:rPr>
          <w:rFonts w:ascii="Segoe UI" w:hAnsi="Segoe UI" w:cs="Segoe UI"/>
          <w:lang w:val="en-US" w:eastAsia="en-GB"/>
        </w:rPr>
        <w:t>and  better</w:t>
      </w:r>
      <w:proofErr w:type="gramEnd"/>
      <w:r w:rsidRPr="00B5378F">
        <w:rPr>
          <w:rFonts w:ascii="Segoe UI" w:hAnsi="Segoe UI" w:cs="Segoe UI"/>
          <w:lang w:val="en-US" w:eastAsia="en-GB"/>
        </w:rPr>
        <w:t xml:space="preserve"> prepare all students for life in the 21</w:t>
      </w:r>
      <w:r w:rsidRPr="00B5378F">
        <w:rPr>
          <w:rFonts w:ascii="Segoe UI" w:hAnsi="Segoe UI" w:cs="Segoe UI"/>
          <w:vertAlign w:val="superscript"/>
          <w:lang w:val="en-US" w:eastAsia="en-GB"/>
        </w:rPr>
        <w:t>st</w:t>
      </w:r>
      <w:r w:rsidRPr="00B5378F">
        <w:rPr>
          <w:rFonts w:ascii="Segoe UI" w:hAnsi="Segoe UI" w:cs="Segoe UI"/>
          <w:lang w:val="en-US" w:eastAsia="en-GB"/>
        </w:rPr>
        <w:t> century.  Broadly, colleagues hope that a more relevant curriculum will increase students’ motivation to engage in taught sessions and independent learning</w:t>
      </w:r>
      <w:r w:rsidRPr="00B5378F">
        <w:rPr>
          <w:rFonts w:ascii="Segoe UI" w:hAnsi="Segoe UI" w:cs="Segoe UI"/>
          <w:lang w:eastAsia="en-GB"/>
        </w:rPr>
        <w:t>, including assignments, and this will improve their grades.   There is however some staff resistance to changing the curriculum.  Activities proposed include:</w:t>
      </w:r>
    </w:p>
    <w:p w14:paraId="7C017D97" w14:textId="0F3BD69D" w:rsidR="00BC32B2" w:rsidRPr="00B5378F" w:rsidRDefault="00BC32B2" w:rsidP="00BC32B2">
      <w:pPr>
        <w:pStyle w:val="ListParagraph"/>
        <w:numPr>
          <w:ilvl w:val="0"/>
          <w:numId w:val="5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Staff development sessions about the awarding gap, and how to diversi</w:t>
      </w:r>
      <w:r w:rsidR="000A4C66" w:rsidRPr="00B5378F">
        <w:rPr>
          <w:rFonts w:ascii="Segoe UI" w:hAnsi="Segoe UI" w:cs="Segoe UI"/>
          <w:lang w:eastAsia="en-GB"/>
        </w:rPr>
        <w:t>f</w:t>
      </w:r>
      <w:r w:rsidRPr="00B5378F">
        <w:rPr>
          <w:rFonts w:ascii="Segoe UI" w:hAnsi="Segoe UI" w:cs="Segoe UI"/>
          <w:lang w:eastAsia="en-GB"/>
        </w:rPr>
        <w:t>y the curriculum</w:t>
      </w:r>
      <w:r w:rsidR="000A4C66" w:rsidRPr="00B5378F">
        <w:rPr>
          <w:rFonts w:ascii="Segoe UI" w:hAnsi="Segoe UI" w:cs="Segoe UI"/>
          <w:lang w:eastAsia="en-GB"/>
        </w:rPr>
        <w:t>, for programme</w:t>
      </w:r>
      <w:r w:rsidR="00371318" w:rsidRPr="00B5378F">
        <w:rPr>
          <w:rFonts w:ascii="Segoe UI" w:hAnsi="Segoe UI" w:cs="Segoe UI"/>
          <w:lang w:eastAsia="en-GB"/>
        </w:rPr>
        <w:t xml:space="preserve"> teams with the biggest awarding gap</w:t>
      </w:r>
      <w:r w:rsidRPr="00B5378F">
        <w:rPr>
          <w:rFonts w:ascii="Segoe UI" w:hAnsi="Segoe UI" w:cs="Segoe UI"/>
          <w:lang w:eastAsia="en-GB"/>
        </w:rPr>
        <w:t>.</w:t>
      </w:r>
    </w:p>
    <w:p w14:paraId="690FF529" w14:textId="1DBA7A8B" w:rsidR="00BC32B2" w:rsidRPr="00B5378F" w:rsidRDefault="00371318" w:rsidP="00BC32B2">
      <w:pPr>
        <w:pStyle w:val="ListParagraph"/>
        <w:numPr>
          <w:ilvl w:val="0"/>
          <w:numId w:val="5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Mandatory u</w:t>
      </w:r>
      <w:r w:rsidR="00BC32B2" w:rsidRPr="00B5378F">
        <w:rPr>
          <w:rFonts w:ascii="Segoe UI" w:hAnsi="Segoe UI" w:cs="Segoe UI"/>
          <w:lang w:eastAsia="en-GB"/>
        </w:rPr>
        <w:t>nconscious bias training</w:t>
      </w:r>
      <w:r w:rsidRPr="00B5378F">
        <w:rPr>
          <w:rFonts w:ascii="Segoe UI" w:hAnsi="Segoe UI" w:cs="Segoe UI"/>
          <w:lang w:eastAsia="en-GB"/>
        </w:rPr>
        <w:t xml:space="preserve"> for all staff and managers</w:t>
      </w:r>
      <w:r w:rsidR="00BC32B2" w:rsidRPr="00B5378F">
        <w:rPr>
          <w:rFonts w:ascii="Segoe UI" w:hAnsi="Segoe UI" w:cs="Segoe UI"/>
          <w:lang w:eastAsia="en-GB"/>
        </w:rPr>
        <w:t>.</w:t>
      </w:r>
    </w:p>
    <w:p w14:paraId="70246B8C" w14:textId="46160592" w:rsidR="00BC32B2" w:rsidRPr="00B5378F" w:rsidRDefault="00BC32B2" w:rsidP="00BC32B2">
      <w:pPr>
        <w:pStyle w:val="ListParagraph"/>
        <w:numPr>
          <w:ilvl w:val="0"/>
          <w:numId w:val="5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The development of an inclusive curriculum checklist.</w:t>
      </w:r>
    </w:p>
    <w:p w14:paraId="55E09684" w14:textId="22FE9560" w:rsidR="00BC32B2" w:rsidRPr="00B5378F" w:rsidRDefault="00BC32B2" w:rsidP="00BC32B2">
      <w:pPr>
        <w:pStyle w:val="ListParagraph"/>
        <w:numPr>
          <w:ilvl w:val="0"/>
          <w:numId w:val="5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Changing assessments to allow students to select topics.</w:t>
      </w:r>
    </w:p>
    <w:p w14:paraId="1BB547C3" w14:textId="3D24A338" w:rsidR="00BC32B2" w:rsidRPr="00B5378F" w:rsidRDefault="00BC32B2" w:rsidP="00BC32B2">
      <w:pPr>
        <w:pStyle w:val="ListParagraph"/>
        <w:numPr>
          <w:ilvl w:val="0"/>
          <w:numId w:val="5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Diversifying reading lists</w:t>
      </w:r>
    </w:p>
    <w:p w14:paraId="41966F57" w14:textId="51424EB7" w:rsidR="00BC32B2" w:rsidRPr="00B5378F" w:rsidRDefault="00BC32B2" w:rsidP="00BC32B2">
      <w:pPr>
        <w:pStyle w:val="ListParagraph"/>
        <w:numPr>
          <w:ilvl w:val="0"/>
          <w:numId w:val="5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Bringing in outside speakers</w:t>
      </w:r>
      <w:r w:rsidR="00371318" w:rsidRPr="00B5378F">
        <w:rPr>
          <w:rFonts w:ascii="Segoe UI" w:hAnsi="Segoe UI" w:cs="Segoe UI"/>
          <w:lang w:eastAsia="en-GB"/>
        </w:rPr>
        <w:t xml:space="preserve"> in twilight slots</w:t>
      </w:r>
    </w:p>
    <w:p w14:paraId="26C3A2CF" w14:textId="555265D0" w:rsidR="00BC32B2" w:rsidRPr="00B5378F" w:rsidRDefault="00BC32B2" w:rsidP="00BC32B2">
      <w:pPr>
        <w:pStyle w:val="ListParagraph"/>
        <w:numPr>
          <w:ilvl w:val="0"/>
          <w:numId w:val="5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Building curriculum diversity into the annual</w:t>
      </w:r>
      <w:r w:rsidR="00371318" w:rsidRPr="00B5378F">
        <w:rPr>
          <w:rFonts w:ascii="Segoe UI" w:hAnsi="Segoe UI" w:cs="Segoe UI"/>
          <w:lang w:eastAsia="en-GB"/>
        </w:rPr>
        <w:t xml:space="preserve"> review process</w:t>
      </w:r>
    </w:p>
    <w:p w14:paraId="165B0E49" w14:textId="4FD891CF" w:rsidR="00BC32B2" w:rsidRPr="00B5378F" w:rsidRDefault="00BC32B2" w:rsidP="00BC32B2">
      <w:pPr>
        <w:pStyle w:val="ListParagraph"/>
        <w:numPr>
          <w:ilvl w:val="0"/>
          <w:numId w:val="5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Using student voice to develop understanding of the experience of non-White students </w:t>
      </w:r>
    </w:p>
    <w:p w14:paraId="14B91876" w14:textId="1F43CD00" w:rsidR="00371318" w:rsidRPr="00B5378F" w:rsidRDefault="00371318" w:rsidP="00371318">
      <w:pPr>
        <w:pStyle w:val="Heading2"/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Task</w:t>
      </w:r>
    </w:p>
    <w:p w14:paraId="1BEC28BB" w14:textId="7EA47380" w:rsidR="00371318" w:rsidRPr="00B5378F" w:rsidRDefault="00371318" w:rsidP="00371318">
      <w:p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Drawing on this information, and your own knowledge of curriculum review and the awarding gap:</w:t>
      </w:r>
    </w:p>
    <w:p w14:paraId="4DE35ACF" w14:textId="6468FEAE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Define the longer-term impact that the curriculum review is aiming to achieve.</w:t>
      </w:r>
    </w:p>
    <w:p w14:paraId="261F9EFA" w14:textId="77777777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Identify three key activities that will be included. Do not spend too long on this activity (you could take a quick vote).</w:t>
      </w:r>
    </w:p>
    <w:p w14:paraId="2622A640" w14:textId="0FAC681A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Describe how the staff – and others – will benefit from participating in the curriculum review activities you have selected.</w:t>
      </w:r>
    </w:p>
    <w:p w14:paraId="1A50BF64" w14:textId="7FF09A48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lastRenderedPageBreak/>
        <w:t>Think about what you would like staff – and other stakeholder</w:t>
      </w:r>
      <w:r w:rsidR="000A4C66" w:rsidRPr="00B5378F">
        <w:rPr>
          <w:rFonts w:ascii="Segoe UI" w:hAnsi="Segoe UI" w:cs="Segoe UI"/>
          <w:lang w:eastAsia="en-GB"/>
        </w:rPr>
        <w:t xml:space="preserve">s - </w:t>
      </w:r>
      <w:r w:rsidRPr="00B5378F">
        <w:rPr>
          <w:rFonts w:ascii="Segoe UI" w:hAnsi="Segoe UI" w:cs="Segoe UI"/>
          <w:lang w:eastAsia="en-GB"/>
        </w:rPr>
        <w:t xml:space="preserve">to do following the initial curriculum review activities </w:t>
      </w:r>
      <w:r w:rsidR="000A4C66" w:rsidRPr="00B5378F">
        <w:rPr>
          <w:rFonts w:ascii="Segoe UI" w:hAnsi="Segoe UI" w:cs="Segoe UI"/>
          <w:lang w:eastAsia="en-GB"/>
        </w:rPr>
        <w:t xml:space="preserve">to </w:t>
      </w:r>
      <w:r w:rsidRPr="00B5378F">
        <w:rPr>
          <w:rFonts w:ascii="Segoe UI" w:hAnsi="Segoe UI" w:cs="Segoe UI"/>
          <w:lang w:eastAsia="en-GB"/>
        </w:rPr>
        <w:t>achieve the longer-term impact.  This might include staff changing what is offered, or changes to institutional processes, or changes in student behaviour.</w:t>
      </w:r>
    </w:p>
    <w:p w14:paraId="26CB2683" w14:textId="238D85E8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What else will need to happen for staff to move from where they are</w:t>
      </w:r>
      <w:r w:rsidR="000A4C66" w:rsidRPr="00B5378F">
        <w:rPr>
          <w:rFonts w:ascii="Segoe UI" w:hAnsi="Segoe UI" w:cs="Segoe UI"/>
          <w:lang w:eastAsia="en-GB"/>
        </w:rPr>
        <w:t xml:space="preserve"> now</w:t>
      </w:r>
      <w:r w:rsidRPr="00B5378F">
        <w:rPr>
          <w:rFonts w:ascii="Segoe UI" w:hAnsi="Segoe UI" w:cs="Segoe UI"/>
          <w:lang w:eastAsia="en-GB"/>
        </w:rPr>
        <w:t>, to delivering a more diverse curriculum that improves BAME students’ sense of belonging and attainment (i.e.  achieving the longer-term impact goal)?</w:t>
      </w:r>
    </w:p>
    <w:p w14:paraId="5A91387E" w14:textId="77777777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Add in another activity if necessary.</w:t>
      </w:r>
    </w:p>
    <w:p w14:paraId="10312FDD" w14:textId="55D4CBB7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Write a theory of change statement for how </w:t>
      </w:r>
      <w:r w:rsidRPr="00B5378F">
        <w:rPr>
          <w:rFonts w:ascii="Segoe UI" w:hAnsi="Segoe UI" w:cs="Segoe UI"/>
          <w:b/>
          <w:bCs/>
          <w:lang w:eastAsia="en-GB"/>
        </w:rPr>
        <w:t>staff and students</w:t>
      </w:r>
      <w:r w:rsidRPr="00B5378F">
        <w:rPr>
          <w:rFonts w:ascii="Segoe UI" w:hAnsi="Segoe UI" w:cs="Segoe UI"/>
          <w:lang w:eastAsia="en-GB"/>
        </w:rPr>
        <w:t xml:space="preserve"> will be changed by the </w:t>
      </w:r>
      <w:r w:rsidR="000A4C66" w:rsidRPr="00B5378F">
        <w:rPr>
          <w:rFonts w:ascii="Segoe UI" w:hAnsi="Segoe UI" w:cs="Segoe UI"/>
          <w:lang w:eastAsia="en-GB"/>
        </w:rPr>
        <w:t>curriculum review activities</w:t>
      </w:r>
      <w:r w:rsidRPr="00B5378F">
        <w:rPr>
          <w:rFonts w:ascii="Segoe UI" w:hAnsi="Segoe UI" w:cs="Segoe UI"/>
          <w:lang w:eastAsia="en-GB"/>
        </w:rPr>
        <w:t>.</w:t>
      </w:r>
    </w:p>
    <w:p w14:paraId="4A05EEF3" w14:textId="77777777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Review your theory of change, by considering whether the logic between steps works.</w:t>
      </w:r>
    </w:p>
    <w:p w14:paraId="60ACCCEC" w14:textId="77777777" w:rsidR="00371318" w:rsidRPr="00B5378F" w:rsidRDefault="00371318" w:rsidP="00371318">
      <w:pPr>
        <w:pStyle w:val="ListParagraph"/>
        <w:numPr>
          <w:ilvl w:val="1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What are the assumptions, are these realistic?</w:t>
      </w:r>
    </w:p>
    <w:p w14:paraId="603E621C" w14:textId="77777777" w:rsidR="00371318" w:rsidRPr="00B5378F" w:rsidRDefault="00371318" w:rsidP="00371318">
      <w:pPr>
        <w:pStyle w:val="ListParagraph"/>
        <w:numPr>
          <w:ilvl w:val="1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Are additional activities needed?</w:t>
      </w:r>
    </w:p>
    <w:p w14:paraId="5446A6FC" w14:textId="7026A650" w:rsidR="00371318" w:rsidRPr="00B5378F" w:rsidRDefault="00371318" w:rsidP="00371318">
      <w:pPr>
        <w:pStyle w:val="ListParagraph"/>
        <w:numPr>
          <w:ilvl w:val="1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Do other stakeholders need to behave differently?</w:t>
      </w:r>
    </w:p>
    <w:p w14:paraId="4262653A" w14:textId="77777777" w:rsidR="008D4E4F" w:rsidRPr="00B5378F" w:rsidRDefault="008D4E4F" w:rsidP="008D4E4F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Consider building other stakeholders into your theory of change statement.  This may include additional activities, and a revised or additional </w:t>
      </w:r>
      <w:proofErr w:type="spellStart"/>
      <w:r w:rsidRPr="00B5378F">
        <w:rPr>
          <w:rFonts w:ascii="Segoe UI" w:hAnsi="Segoe UI" w:cs="Segoe UI"/>
          <w:lang w:eastAsia="en-GB"/>
        </w:rPr>
        <w:t>ToC</w:t>
      </w:r>
      <w:proofErr w:type="spellEnd"/>
      <w:r w:rsidRPr="00B5378F">
        <w:rPr>
          <w:rFonts w:ascii="Segoe UI" w:hAnsi="Segoe UI" w:cs="Segoe UI"/>
          <w:lang w:eastAsia="en-GB"/>
        </w:rPr>
        <w:t xml:space="preserve"> statement. You do not have to do this unless you have time.</w:t>
      </w:r>
    </w:p>
    <w:p w14:paraId="2EAD7CCF" w14:textId="77777777" w:rsidR="00371318" w:rsidRPr="00B5378F" w:rsidRDefault="00371318" w:rsidP="00371318">
      <w:pPr>
        <w:pStyle w:val="ListParagraph"/>
        <w:numPr>
          <w:ilvl w:val="0"/>
          <w:numId w:val="6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 xml:space="preserve">Be prepared to share your final </w:t>
      </w:r>
      <w:proofErr w:type="spellStart"/>
      <w:r w:rsidRPr="00B5378F">
        <w:rPr>
          <w:rFonts w:ascii="Segoe UI" w:hAnsi="Segoe UI" w:cs="Segoe UI"/>
          <w:lang w:eastAsia="en-GB"/>
        </w:rPr>
        <w:t>ToC</w:t>
      </w:r>
      <w:proofErr w:type="spellEnd"/>
      <w:r w:rsidRPr="00B5378F">
        <w:rPr>
          <w:rFonts w:ascii="Segoe UI" w:hAnsi="Segoe UI" w:cs="Segoe UI"/>
          <w:lang w:eastAsia="en-GB"/>
        </w:rPr>
        <w:t xml:space="preserve"> with the plenary group, note any changes or additions you identified at step 9.</w:t>
      </w:r>
    </w:p>
    <w:p w14:paraId="14F141E2" w14:textId="77777777" w:rsidR="00C834FC" w:rsidRDefault="00C834FC" w:rsidP="00C834FC">
      <w:pPr>
        <w:pStyle w:val="Heading2"/>
        <w:rPr>
          <w:rFonts w:ascii="Segoe UI" w:hAnsi="Segoe UI" w:cs="Segoe UI"/>
          <w:lang w:eastAsia="en-GB"/>
        </w:rPr>
      </w:pPr>
    </w:p>
    <w:p w14:paraId="6FD7A9CA" w14:textId="2B3E6D3B" w:rsidR="00C834FC" w:rsidRPr="00B5378F" w:rsidRDefault="00C834FC" w:rsidP="00C834FC">
      <w:pPr>
        <w:pStyle w:val="Heading2"/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Additional information</w:t>
      </w:r>
    </w:p>
    <w:p w14:paraId="3F99AD95" w14:textId="77777777" w:rsidR="00C834FC" w:rsidRPr="00B5378F" w:rsidRDefault="00C834FC" w:rsidP="00C834FC">
      <w:p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Your theory of change statement should be broadly in the form:</w:t>
      </w:r>
    </w:p>
    <w:p w14:paraId="05A50912" w14:textId="77777777" w:rsidR="00B5378F" w:rsidRPr="00B5378F" w:rsidRDefault="00B5378F" w:rsidP="00C834FC">
      <w:pPr>
        <w:numPr>
          <w:ilvl w:val="0"/>
          <w:numId w:val="9"/>
        </w:num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i/>
          <w:iCs/>
          <w:lang w:eastAsia="en-GB"/>
        </w:rPr>
        <w:t xml:space="preserve">If </w:t>
      </w:r>
      <w:r w:rsidRPr="00B5378F">
        <w:rPr>
          <w:rFonts w:ascii="Segoe UI" w:hAnsi="Segoe UI" w:cs="Segoe UI"/>
          <w:lang w:eastAsia="en-GB"/>
        </w:rPr>
        <w:t>we undertake these activities,</w:t>
      </w:r>
      <w:r w:rsidRPr="00B5378F">
        <w:rPr>
          <w:rFonts w:ascii="Segoe UI" w:hAnsi="Segoe UI" w:cs="Segoe UI"/>
          <w:i/>
          <w:iCs/>
          <w:lang w:eastAsia="en-GB"/>
        </w:rPr>
        <w:t xml:space="preserve"> then</w:t>
      </w:r>
      <w:r w:rsidRPr="00B5378F">
        <w:rPr>
          <w:rFonts w:ascii="Segoe UI" w:hAnsi="Segoe UI" w:cs="Segoe UI"/>
          <w:lang w:eastAsia="en-GB"/>
        </w:rPr>
        <w:t xml:space="preserve"> these short-term benefits will happen.</w:t>
      </w:r>
      <w:r w:rsidRPr="00B5378F">
        <w:rPr>
          <w:rFonts w:ascii="Segoe UI" w:hAnsi="Segoe UI" w:cs="Segoe UI"/>
          <w:i/>
          <w:iCs/>
          <w:lang w:eastAsia="en-GB"/>
        </w:rPr>
        <w:t xml:space="preserve">  If </w:t>
      </w:r>
      <w:r w:rsidRPr="00B5378F">
        <w:rPr>
          <w:rFonts w:ascii="Segoe UI" w:hAnsi="Segoe UI" w:cs="Segoe UI"/>
          <w:lang w:eastAsia="en-GB"/>
        </w:rPr>
        <w:t xml:space="preserve">we have these benefits, </w:t>
      </w:r>
      <w:r w:rsidRPr="00B5378F">
        <w:rPr>
          <w:rFonts w:ascii="Segoe UI" w:hAnsi="Segoe UI" w:cs="Segoe UI"/>
          <w:i/>
          <w:iCs/>
          <w:lang w:eastAsia="en-GB"/>
        </w:rPr>
        <w:t>then</w:t>
      </w:r>
      <w:r w:rsidRPr="00B5378F">
        <w:rPr>
          <w:rFonts w:ascii="Segoe UI" w:hAnsi="Segoe UI" w:cs="Segoe UI"/>
          <w:lang w:eastAsia="en-GB"/>
        </w:rPr>
        <w:t xml:space="preserve"> these medium-term outcomes will be achieved.</w:t>
      </w:r>
      <w:r w:rsidRPr="00B5378F">
        <w:rPr>
          <w:rFonts w:ascii="Segoe UI" w:hAnsi="Segoe UI" w:cs="Segoe UI"/>
          <w:i/>
          <w:iCs/>
          <w:lang w:eastAsia="en-GB"/>
        </w:rPr>
        <w:t xml:space="preserve">  If </w:t>
      </w:r>
      <w:r w:rsidRPr="00B5378F">
        <w:rPr>
          <w:rFonts w:ascii="Segoe UI" w:hAnsi="Segoe UI" w:cs="Segoe UI"/>
          <w:lang w:eastAsia="en-GB"/>
        </w:rPr>
        <w:t>we have these medium-term outcomes,</w:t>
      </w:r>
      <w:r w:rsidRPr="00B5378F">
        <w:rPr>
          <w:rFonts w:ascii="Segoe UI" w:hAnsi="Segoe UI" w:cs="Segoe UI"/>
          <w:i/>
          <w:iCs/>
          <w:lang w:eastAsia="en-GB"/>
        </w:rPr>
        <w:t xml:space="preserve"> then </w:t>
      </w:r>
      <w:r w:rsidRPr="00B5378F">
        <w:rPr>
          <w:rFonts w:ascii="Segoe UI" w:hAnsi="Segoe UI" w:cs="Segoe UI"/>
          <w:lang w:eastAsia="en-GB"/>
        </w:rPr>
        <w:t>this longer-term impact will happen.</w:t>
      </w:r>
    </w:p>
    <w:p w14:paraId="3547B288" w14:textId="77777777" w:rsidR="00C834FC" w:rsidRPr="00B5378F" w:rsidRDefault="00C834FC" w:rsidP="00C834FC">
      <w:pPr>
        <w:rPr>
          <w:rFonts w:ascii="Segoe UI" w:hAnsi="Segoe UI" w:cs="Segoe UI"/>
          <w:lang w:eastAsia="en-GB"/>
        </w:rPr>
      </w:pPr>
      <w:r w:rsidRPr="00B5378F">
        <w:rPr>
          <w:rFonts w:ascii="Segoe UI" w:hAnsi="Segoe UI" w:cs="Segoe UI"/>
          <w:lang w:eastAsia="en-GB"/>
        </w:rPr>
        <w:t>You may use this template for Activity 2</w:t>
      </w:r>
    </w:p>
    <w:tbl>
      <w:tblPr>
        <w:tblStyle w:val="TableGrid"/>
        <w:tblW w:w="9066" w:type="dxa"/>
        <w:tblLook w:val="0420" w:firstRow="1" w:lastRow="0" w:firstColumn="0" w:lastColumn="0" w:noHBand="0" w:noVBand="1"/>
      </w:tblPr>
      <w:tblGrid>
        <w:gridCol w:w="1413"/>
        <w:gridCol w:w="2551"/>
        <w:gridCol w:w="2551"/>
        <w:gridCol w:w="2551"/>
      </w:tblGrid>
      <w:tr w:rsidR="00C834FC" w:rsidRPr="00B5378F" w14:paraId="275CF157" w14:textId="77777777" w:rsidTr="0095684B">
        <w:trPr>
          <w:trHeight w:val="624"/>
        </w:trPr>
        <w:tc>
          <w:tcPr>
            <w:tcW w:w="1413" w:type="dxa"/>
            <w:shd w:val="clear" w:color="auto" w:fill="E7E6E6" w:themeFill="background2"/>
            <w:hideMark/>
          </w:tcPr>
          <w:p w14:paraId="1A98E420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  <w:shd w:val="clear" w:color="auto" w:fill="E7E6E6" w:themeFill="background2"/>
            <w:hideMark/>
          </w:tcPr>
          <w:p w14:paraId="7674557F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Short-term benefits</w:t>
            </w:r>
          </w:p>
        </w:tc>
        <w:tc>
          <w:tcPr>
            <w:tcW w:w="2551" w:type="dxa"/>
            <w:shd w:val="clear" w:color="auto" w:fill="E7E6E6" w:themeFill="background2"/>
            <w:hideMark/>
          </w:tcPr>
          <w:p w14:paraId="6800D9FA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Medium-term outcomes</w:t>
            </w:r>
          </w:p>
        </w:tc>
        <w:tc>
          <w:tcPr>
            <w:tcW w:w="2551" w:type="dxa"/>
            <w:shd w:val="clear" w:color="auto" w:fill="E7E6E6" w:themeFill="background2"/>
            <w:hideMark/>
          </w:tcPr>
          <w:p w14:paraId="03B73AF1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Longer-term impact</w:t>
            </w:r>
          </w:p>
        </w:tc>
      </w:tr>
      <w:tr w:rsidR="00C834FC" w:rsidRPr="00B5378F" w14:paraId="5779416E" w14:textId="77777777" w:rsidTr="0095684B">
        <w:trPr>
          <w:trHeight w:val="576"/>
        </w:trPr>
        <w:tc>
          <w:tcPr>
            <w:tcW w:w="1413" w:type="dxa"/>
            <w:shd w:val="clear" w:color="auto" w:fill="E7E6E6" w:themeFill="background2"/>
            <w:hideMark/>
          </w:tcPr>
          <w:p w14:paraId="33A35C84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 xml:space="preserve">Indicators </w:t>
            </w:r>
          </w:p>
        </w:tc>
        <w:tc>
          <w:tcPr>
            <w:tcW w:w="2551" w:type="dxa"/>
          </w:tcPr>
          <w:p w14:paraId="1D20F97D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  <w:p w14:paraId="150FF978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20E227E5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1F21319E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</w:tr>
      <w:tr w:rsidR="00C834FC" w:rsidRPr="00B5378F" w14:paraId="34BE3AF7" w14:textId="77777777" w:rsidTr="0095684B">
        <w:trPr>
          <w:trHeight w:val="1000"/>
        </w:trPr>
        <w:tc>
          <w:tcPr>
            <w:tcW w:w="1413" w:type="dxa"/>
            <w:shd w:val="clear" w:color="auto" w:fill="E7E6E6" w:themeFill="background2"/>
            <w:hideMark/>
          </w:tcPr>
          <w:p w14:paraId="61CFFA4B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Methods</w:t>
            </w:r>
          </w:p>
        </w:tc>
        <w:tc>
          <w:tcPr>
            <w:tcW w:w="2551" w:type="dxa"/>
          </w:tcPr>
          <w:p w14:paraId="02C1E737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63CFE5E5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39B375E2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</w:tr>
      <w:tr w:rsidR="00C834FC" w:rsidRPr="00B5378F" w14:paraId="18D5B1E0" w14:textId="77777777" w:rsidTr="0095684B">
        <w:trPr>
          <w:trHeight w:val="576"/>
        </w:trPr>
        <w:tc>
          <w:tcPr>
            <w:tcW w:w="1413" w:type="dxa"/>
            <w:shd w:val="clear" w:color="auto" w:fill="E7E6E6" w:themeFill="background2"/>
            <w:hideMark/>
          </w:tcPr>
          <w:p w14:paraId="00E8E3BC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  <w:r w:rsidRPr="00B5378F">
              <w:rPr>
                <w:rFonts w:ascii="Segoe UI" w:hAnsi="Segoe UI" w:cs="Segoe UI"/>
                <w:b/>
                <w:bCs/>
                <w:lang w:eastAsia="en-GB"/>
              </w:rPr>
              <w:t>Baseline</w:t>
            </w:r>
          </w:p>
        </w:tc>
        <w:tc>
          <w:tcPr>
            <w:tcW w:w="2551" w:type="dxa"/>
          </w:tcPr>
          <w:p w14:paraId="01755A26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  <w:p w14:paraId="0E1015C9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1A2084EB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  <w:tc>
          <w:tcPr>
            <w:tcW w:w="2551" w:type="dxa"/>
          </w:tcPr>
          <w:p w14:paraId="6C97DBBC" w14:textId="77777777" w:rsidR="00C834FC" w:rsidRPr="00B5378F" w:rsidRDefault="00C834FC" w:rsidP="0095684B">
            <w:pPr>
              <w:spacing w:after="160" w:line="259" w:lineRule="auto"/>
              <w:rPr>
                <w:rFonts w:ascii="Segoe UI" w:hAnsi="Segoe UI" w:cs="Segoe UI"/>
                <w:lang w:eastAsia="en-GB"/>
              </w:rPr>
            </w:pPr>
          </w:p>
        </w:tc>
      </w:tr>
    </w:tbl>
    <w:p w14:paraId="6395E284" w14:textId="77777777" w:rsidR="00C834FC" w:rsidRPr="00B5378F" w:rsidRDefault="00C834FC" w:rsidP="00080B03">
      <w:pPr>
        <w:rPr>
          <w:rFonts w:ascii="Segoe UI" w:hAnsi="Segoe UI" w:cs="Segoe UI"/>
        </w:rPr>
      </w:pPr>
      <w:bookmarkStart w:id="0" w:name="_GoBack"/>
      <w:bookmarkEnd w:id="0"/>
    </w:p>
    <w:sectPr w:rsidR="00C834FC" w:rsidRPr="00B5378F" w:rsidSect="005D676C"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0DDDD" w14:textId="77777777" w:rsidR="00B16EB8" w:rsidRDefault="00B16EB8" w:rsidP="005D676C">
      <w:pPr>
        <w:spacing w:after="0" w:line="240" w:lineRule="auto"/>
      </w:pPr>
      <w:r>
        <w:separator/>
      </w:r>
    </w:p>
  </w:endnote>
  <w:endnote w:type="continuationSeparator" w:id="0">
    <w:p w14:paraId="6AD2A0D5" w14:textId="77777777" w:rsidR="00B16EB8" w:rsidRDefault="00B16EB8" w:rsidP="005D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410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9F7AFF" w14:textId="5C5D2818" w:rsidR="005D676C" w:rsidRDefault="005D67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1F0F82" w14:textId="77777777" w:rsidR="005D676C" w:rsidRDefault="005D6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5AB2" w14:textId="77777777" w:rsidR="00B16EB8" w:rsidRDefault="00B16EB8" w:rsidP="005D676C">
      <w:pPr>
        <w:spacing w:after="0" w:line="240" w:lineRule="auto"/>
      </w:pPr>
      <w:r>
        <w:separator/>
      </w:r>
    </w:p>
  </w:footnote>
  <w:footnote w:type="continuationSeparator" w:id="0">
    <w:p w14:paraId="3C717E89" w14:textId="77777777" w:rsidR="00B16EB8" w:rsidRDefault="00B16EB8" w:rsidP="005D6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1D233" w14:textId="6AC64CA3" w:rsidR="005D676C" w:rsidRDefault="005D676C" w:rsidP="005D676C">
    <w:pPr>
      <w:pStyle w:val="Header"/>
      <w:rPr>
        <w:rFonts w:ascii="Segoe UI" w:hAnsi="Segoe UI" w:cs="Segoe UI"/>
      </w:rPr>
    </w:pPr>
    <w:r w:rsidRPr="005D676C">
      <w:rPr>
        <w:noProof/>
      </w:rPr>
      <w:drawing>
        <wp:anchor distT="0" distB="0" distL="114300" distR="114300" simplePos="0" relativeHeight="251659264" behindDoc="0" locked="0" layoutInCell="1" allowOverlap="1" wp14:anchorId="547700A6" wp14:editId="5CFD0CDC">
          <wp:simplePos x="0" y="0"/>
          <wp:positionH relativeFrom="column">
            <wp:posOffset>3181350</wp:posOffset>
          </wp:positionH>
          <wp:positionV relativeFrom="page">
            <wp:posOffset>480060</wp:posOffset>
          </wp:positionV>
          <wp:extent cx="3021330" cy="591820"/>
          <wp:effectExtent l="0" t="0" r="7620" b="0"/>
          <wp:wrapSquare wrapText="bothSides"/>
          <wp:docPr id="1" name="Picture 10" descr="logo90.png">
            <a:extLst xmlns:a="http://schemas.openxmlformats.org/drawingml/2006/main">
              <a:ext uri="{FF2B5EF4-FFF2-40B4-BE49-F238E27FC236}">
                <a16:creationId xmlns:a16="http://schemas.microsoft.com/office/drawing/2014/main" id="{17C61159-D736-445E-8041-F6886681A9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logo90.png">
                    <a:extLst>
                      <a:ext uri="{FF2B5EF4-FFF2-40B4-BE49-F238E27FC236}">
                        <a16:creationId xmlns:a16="http://schemas.microsoft.com/office/drawing/2014/main" id="{17C61159-D736-445E-8041-F6886681A92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1330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C1831E" w14:textId="6F1A1A35" w:rsidR="005D676C" w:rsidRDefault="005D676C" w:rsidP="005D676C">
    <w:pPr>
      <w:pStyle w:val="Header"/>
    </w:pPr>
    <w:r w:rsidRPr="005D676C">
      <w:rPr>
        <w:rFonts w:ascii="Segoe UI" w:hAnsi="Segoe UI" w:cs="Segoe UI"/>
        <w:noProof/>
      </w:rPr>
      <w:drawing>
        <wp:anchor distT="0" distB="0" distL="114300" distR="114300" simplePos="0" relativeHeight="251658240" behindDoc="0" locked="0" layoutInCell="1" allowOverlap="1" wp14:anchorId="343CF15E" wp14:editId="34400598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3044190" cy="885825"/>
          <wp:effectExtent l="0" t="0" r="3810" b="9525"/>
          <wp:wrapTopAndBottom/>
          <wp:docPr id="2" name="Picture 6" descr="NERUPI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6" descr="NERUPI Network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19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138"/>
    <w:multiLevelType w:val="hybridMultilevel"/>
    <w:tmpl w:val="E3EC9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17024"/>
    <w:multiLevelType w:val="hybridMultilevel"/>
    <w:tmpl w:val="E3EC9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34B78"/>
    <w:multiLevelType w:val="multilevel"/>
    <w:tmpl w:val="18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5A0E63"/>
    <w:multiLevelType w:val="multilevel"/>
    <w:tmpl w:val="6166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3B79D8"/>
    <w:multiLevelType w:val="hybridMultilevel"/>
    <w:tmpl w:val="4476C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17356"/>
    <w:multiLevelType w:val="hybridMultilevel"/>
    <w:tmpl w:val="E3EC9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2C02"/>
    <w:multiLevelType w:val="hybridMultilevel"/>
    <w:tmpl w:val="034E0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C1396"/>
    <w:multiLevelType w:val="hybridMultilevel"/>
    <w:tmpl w:val="4C441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A31A0"/>
    <w:multiLevelType w:val="hybridMultilevel"/>
    <w:tmpl w:val="00842A80"/>
    <w:lvl w:ilvl="0" w:tplc="DE10C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4F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4C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366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ECF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8EA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44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A9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0C0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83"/>
    <w:rsid w:val="00030D93"/>
    <w:rsid w:val="00034243"/>
    <w:rsid w:val="0007465B"/>
    <w:rsid w:val="00080B03"/>
    <w:rsid w:val="000A4C66"/>
    <w:rsid w:val="000E6A3B"/>
    <w:rsid w:val="001738E9"/>
    <w:rsid w:val="00173D0C"/>
    <w:rsid w:val="00320FED"/>
    <w:rsid w:val="00371318"/>
    <w:rsid w:val="003A77FA"/>
    <w:rsid w:val="005025A0"/>
    <w:rsid w:val="005949D7"/>
    <w:rsid w:val="005D676C"/>
    <w:rsid w:val="005F7F0F"/>
    <w:rsid w:val="006225EA"/>
    <w:rsid w:val="007E6BC5"/>
    <w:rsid w:val="008D4E4F"/>
    <w:rsid w:val="009750ED"/>
    <w:rsid w:val="00A31B75"/>
    <w:rsid w:val="00AB2AB5"/>
    <w:rsid w:val="00B16EB8"/>
    <w:rsid w:val="00B300D2"/>
    <w:rsid w:val="00B5378F"/>
    <w:rsid w:val="00BC32B2"/>
    <w:rsid w:val="00BC669C"/>
    <w:rsid w:val="00C834FC"/>
    <w:rsid w:val="00D45D2B"/>
    <w:rsid w:val="00E245C2"/>
    <w:rsid w:val="00F2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125F8"/>
  <w15:chartTrackingRefBased/>
  <w15:docId w15:val="{7BFB65C6-6CE3-444D-94B9-38A64197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AB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AB5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F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2AB5"/>
    <w:rPr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2AB5"/>
    <w:rPr>
      <w:b/>
      <w:bCs/>
    </w:rPr>
  </w:style>
  <w:style w:type="table" w:styleId="TableGrid">
    <w:name w:val="Table Grid"/>
    <w:basedOn w:val="TableNormal"/>
    <w:uiPriority w:val="39"/>
    <w:rsid w:val="00B5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76C"/>
  </w:style>
  <w:style w:type="paragraph" w:styleId="Footer">
    <w:name w:val="footer"/>
    <w:basedOn w:val="Normal"/>
    <w:link w:val="FooterChar"/>
    <w:uiPriority w:val="99"/>
    <w:unhideWhenUsed/>
    <w:rsid w:val="005D6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2" ma:contentTypeDescription="Create a new document." ma:contentTypeScope="" ma:versionID="17c185dd2d55ea45c5cde6b0bc837924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11c649a77dab837ac90f62166ef41944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884D66-49CA-4800-9D67-905A9CA14B0F}"/>
</file>

<file path=customXml/itemProps2.xml><?xml version="1.0" encoding="utf-8"?>
<ds:datastoreItem xmlns:ds="http://schemas.openxmlformats.org/officeDocument/2006/customXml" ds:itemID="{B87E6CDE-5D01-44E4-A053-2FE0E6A053E1}"/>
</file>

<file path=customXml/itemProps3.xml><?xml version="1.0" encoding="utf-8"?>
<ds:datastoreItem xmlns:ds="http://schemas.openxmlformats.org/officeDocument/2006/customXml" ds:itemID="{5B73174F-CACE-4F28-B70C-174342CCA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</dc:creator>
  <cp:keywords/>
  <dc:description/>
  <cp:lastModifiedBy>Liz Thomas</cp:lastModifiedBy>
  <cp:revision>3</cp:revision>
  <dcterms:created xsi:type="dcterms:W3CDTF">2021-01-20T11:41:00Z</dcterms:created>
  <dcterms:modified xsi:type="dcterms:W3CDTF">2021-01-20T11:46:00Z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