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97D41" w14:textId="77777777" w:rsidR="00EB5BE7" w:rsidRPr="0038797D" w:rsidRDefault="00EB5BE7" w:rsidP="00C700A2">
      <w:pPr>
        <w:rPr>
          <w:rFonts w:ascii="Gill Sans MT" w:hAnsi="Gill Sans MT"/>
        </w:rPr>
      </w:pPr>
      <w:r w:rsidRPr="0038797D">
        <w:rPr>
          <w:rFonts w:ascii="Gill Sans MT" w:hAnsi="Gill Sans MT"/>
          <w:b/>
          <w:bCs/>
          <w:color w:val="7030A0"/>
          <w:sz w:val="32"/>
          <w:szCs w:val="32"/>
        </w:rPr>
        <w:t>Overview of the NERUPI Approach to Evaluation</w:t>
      </w:r>
      <w:r w:rsidRPr="0038797D">
        <w:rPr>
          <w:rFonts w:ascii="Gill Sans MT" w:hAnsi="Gill Sans MT"/>
        </w:rPr>
        <w:t xml:space="preserve"> </w:t>
      </w:r>
    </w:p>
    <w:p w14:paraId="624A18D4" w14:textId="382D5DEF" w:rsidR="00EB5BE7" w:rsidRDefault="00EB5BE7" w:rsidP="00C700A2">
      <w:pPr>
        <w:rPr>
          <w:rFonts w:ascii="Gill Sans MT" w:hAnsi="Gill Sans MT"/>
        </w:rPr>
      </w:pPr>
      <w:r>
        <w:rPr>
          <w:rFonts w:ascii="Gill Sans MT" w:hAnsi="Gill Sans MT"/>
        </w:rPr>
        <w:t>INTRODUCTION</w:t>
      </w:r>
    </w:p>
    <w:p w14:paraId="17221B56" w14:textId="68CA6F71" w:rsidR="00C700A2" w:rsidRDefault="00C700A2" w:rsidP="00C700A2">
      <w:pPr>
        <w:rPr>
          <w:rFonts w:ascii="Gill Sans MT" w:hAnsi="Gill Sans MT"/>
        </w:rPr>
      </w:pPr>
      <w:r w:rsidRPr="00D31BC7">
        <w:rPr>
          <w:rFonts w:ascii="Gill Sans MT" w:hAnsi="Gill Sans MT"/>
        </w:rPr>
        <w:t xml:space="preserve">The NERUPI Toolkit is designed to support </w:t>
      </w:r>
      <w:r w:rsidR="00107328">
        <w:rPr>
          <w:rFonts w:ascii="Gill Sans MT" w:hAnsi="Gill Sans MT"/>
        </w:rPr>
        <w:t xml:space="preserve">evaluation </w:t>
      </w:r>
      <w:r w:rsidRPr="00D31BC7">
        <w:rPr>
          <w:rFonts w:ascii="Gill Sans MT" w:hAnsi="Gill Sans MT"/>
        </w:rPr>
        <w:t xml:space="preserve">for continual improvement </w:t>
      </w:r>
      <w:r w:rsidR="00107328">
        <w:rPr>
          <w:rFonts w:ascii="Gill Sans MT" w:hAnsi="Gill Sans MT"/>
        </w:rPr>
        <w:t xml:space="preserve">of access, participation and success programmes, </w:t>
      </w:r>
      <w:r w:rsidRPr="00D31BC7">
        <w:rPr>
          <w:rFonts w:ascii="Gill Sans MT" w:hAnsi="Gill Sans MT"/>
        </w:rPr>
        <w:t xml:space="preserve">and adaptive policy processes involving multiple stakeholders. It proposes an </w:t>
      </w:r>
      <w:r w:rsidR="009F59F2">
        <w:rPr>
          <w:rFonts w:ascii="Gill Sans MT" w:hAnsi="Gill Sans MT"/>
        </w:rPr>
        <w:t xml:space="preserve">iterative </w:t>
      </w:r>
      <w:r w:rsidRPr="00D31BC7">
        <w:rPr>
          <w:rFonts w:ascii="Gill Sans MT" w:hAnsi="Gill Sans MT"/>
        </w:rPr>
        <w:t xml:space="preserve">approach which is practitioner-driven, </w:t>
      </w:r>
      <w:proofErr w:type="gramStart"/>
      <w:r w:rsidRPr="00D31BC7">
        <w:rPr>
          <w:rFonts w:ascii="Gill Sans MT" w:hAnsi="Gill Sans MT"/>
        </w:rPr>
        <w:t>practical</w:t>
      </w:r>
      <w:proofErr w:type="gramEnd"/>
      <w:r w:rsidRPr="00D31BC7">
        <w:rPr>
          <w:rFonts w:ascii="Gill Sans MT" w:hAnsi="Gill Sans MT"/>
        </w:rPr>
        <w:t xml:space="preserve"> and realistic</w:t>
      </w:r>
      <w:r w:rsidR="00DB1302">
        <w:rPr>
          <w:rFonts w:ascii="Gill Sans MT" w:hAnsi="Gill Sans MT"/>
        </w:rPr>
        <w:t>,</w:t>
      </w:r>
      <w:r w:rsidRPr="00D31BC7">
        <w:rPr>
          <w:rFonts w:ascii="Gill Sans MT" w:hAnsi="Gill Sans MT"/>
        </w:rPr>
        <w:t xml:space="preserve"> </w:t>
      </w:r>
      <w:r w:rsidR="00347557">
        <w:rPr>
          <w:rFonts w:ascii="Gill Sans MT" w:hAnsi="Gill Sans MT"/>
        </w:rPr>
        <w:t>with a focus on</w:t>
      </w:r>
      <w:r w:rsidRPr="00D31BC7">
        <w:rPr>
          <w:rFonts w:ascii="Gill Sans MT" w:hAnsi="Gill Sans MT"/>
        </w:rPr>
        <w:t xml:space="preserve"> mixed-methods design</w:t>
      </w:r>
      <w:r w:rsidR="00347557">
        <w:rPr>
          <w:rFonts w:ascii="Gill Sans MT" w:hAnsi="Gill Sans MT"/>
        </w:rPr>
        <w:t>s</w:t>
      </w:r>
      <w:r w:rsidRPr="00D31BC7">
        <w:rPr>
          <w:rFonts w:ascii="Gill Sans MT" w:hAnsi="Gill Sans MT"/>
        </w:rPr>
        <w:t xml:space="preserve"> to offset </w:t>
      </w:r>
      <w:r w:rsidR="00FA735A">
        <w:rPr>
          <w:rFonts w:ascii="Gill Sans MT" w:hAnsi="Gill Sans MT"/>
        </w:rPr>
        <w:t xml:space="preserve">the </w:t>
      </w:r>
      <w:r w:rsidRPr="00D31BC7">
        <w:rPr>
          <w:rFonts w:ascii="Gill Sans MT" w:hAnsi="Gill Sans MT"/>
        </w:rPr>
        <w:t xml:space="preserve">limitations of </w:t>
      </w:r>
      <w:r w:rsidR="00435571" w:rsidRPr="00D31BC7">
        <w:rPr>
          <w:rFonts w:ascii="Gill Sans MT" w:hAnsi="Gill Sans MT"/>
        </w:rPr>
        <w:t>any</w:t>
      </w:r>
      <w:r w:rsidRPr="00D31BC7">
        <w:rPr>
          <w:rFonts w:ascii="Gill Sans MT" w:hAnsi="Gill Sans MT"/>
        </w:rPr>
        <w:t xml:space="preserve"> individual method. The focus is on </w:t>
      </w:r>
      <w:r w:rsidR="0038797D">
        <w:rPr>
          <w:rFonts w:ascii="Gill Sans MT" w:hAnsi="Gill Sans MT"/>
        </w:rPr>
        <w:t>identifying effective practice</w:t>
      </w:r>
      <w:r w:rsidRPr="00D31BC7">
        <w:rPr>
          <w:rFonts w:ascii="Gill Sans MT" w:hAnsi="Gill Sans MT"/>
        </w:rPr>
        <w:t xml:space="preserve"> through theory-based evaluation</w:t>
      </w:r>
      <w:r w:rsidR="005A06F1">
        <w:rPr>
          <w:rFonts w:ascii="Gill Sans MT" w:hAnsi="Gill Sans MT"/>
        </w:rPr>
        <w:t xml:space="preserve"> </w:t>
      </w:r>
      <w:r w:rsidR="00AA1F3D">
        <w:rPr>
          <w:rFonts w:ascii="Gill Sans MT" w:hAnsi="Gill Sans MT"/>
        </w:rPr>
        <w:t xml:space="preserve">proceeding in </w:t>
      </w:r>
      <w:r w:rsidR="00E3463B">
        <w:rPr>
          <w:rFonts w:ascii="Gill Sans MT" w:hAnsi="Gill Sans MT"/>
        </w:rPr>
        <w:t xml:space="preserve">stages whereby </w:t>
      </w:r>
      <w:r w:rsidR="00A37DC5">
        <w:rPr>
          <w:rFonts w:ascii="Gill Sans MT" w:hAnsi="Gill Sans MT"/>
        </w:rPr>
        <w:t xml:space="preserve">learning is fed back into </w:t>
      </w:r>
      <w:r w:rsidR="0038797D">
        <w:rPr>
          <w:rFonts w:ascii="Gill Sans MT" w:hAnsi="Gill Sans MT"/>
        </w:rPr>
        <w:t>action</w:t>
      </w:r>
      <w:r w:rsidRPr="00D31BC7">
        <w:rPr>
          <w:rFonts w:ascii="Gill Sans MT" w:hAnsi="Gill Sans MT"/>
        </w:rPr>
        <w:t xml:space="preserve">. </w:t>
      </w:r>
    </w:p>
    <w:p w14:paraId="4D741F8F" w14:textId="07D462A0" w:rsidR="00551605" w:rsidRDefault="00551605" w:rsidP="00C700A2">
      <w:pPr>
        <w:rPr>
          <w:rFonts w:ascii="Gill Sans MT" w:hAnsi="Gill Sans MT"/>
        </w:rPr>
      </w:pPr>
      <w:r>
        <w:rPr>
          <w:rFonts w:ascii="Gill Sans MT" w:hAnsi="Gill Sans MT"/>
        </w:rPr>
        <w:t xml:space="preserve">This </w:t>
      </w:r>
      <w:r w:rsidR="0011021A">
        <w:rPr>
          <w:rFonts w:ascii="Gill Sans MT" w:hAnsi="Gill Sans MT"/>
        </w:rPr>
        <w:t>briefing sets out the NERUPI approach to evaluation</w:t>
      </w:r>
      <w:r w:rsidR="00C84B1D">
        <w:rPr>
          <w:rFonts w:ascii="Gill Sans MT" w:hAnsi="Gill Sans MT"/>
        </w:rPr>
        <w:t>, rationale</w:t>
      </w:r>
      <w:r w:rsidR="0011021A">
        <w:rPr>
          <w:rFonts w:ascii="Gill Sans MT" w:hAnsi="Gill Sans MT"/>
        </w:rPr>
        <w:t xml:space="preserve"> and </w:t>
      </w:r>
      <w:r w:rsidR="00A53A39">
        <w:rPr>
          <w:rFonts w:ascii="Gill Sans MT" w:hAnsi="Gill Sans MT"/>
        </w:rPr>
        <w:t xml:space="preserve">goes on to </w:t>
      </w:r>
      <w:r w:rsidR="0011021A">
        <w:rPr>
          <w:rFonts w:ascii="Gill Sans MT" w:hAnsi="Gill Sans MT"/>
        </w:rPr>
        <w:t>detail th</w:t>
      </w:r>
      <w:r w:rsidR="00A53A39">
        <w:rPr>
          <w:rFonts w:ascii="Gill Sans MT" w:hAnsi="Gill Sans MT"/>
        </w:rPr>
        <w:t>e</w:t>
      </w:r>
      <w:r w:rsidR="0011021A">
        <w:rPr>
          <w:rFonts w:ascii="Gill Sans MT" w:hAnsi="Gill Sans MT"/>
        </w:rPr>
        <w:t xml:space="preserve"> stages and steps involved in evaluating widening participation interventions. </w:t>
      </w:r>
      <w:r w:rsidR="00A53A39">
        <w:rPr>
          <w:rFonts w:ascii="Gill Sans MT" w:hAnsi="Gill Sans MT"/>
        </w:rPr>
        <w:t>Resources have been developed to support the approach</w:t>
      </w:r>
      <w:r w:rsidR="00EC0722">
        <w:rPr>
          <w:rFonts w:ascii="Gill Sans MT" w:hAnsi="Gill Sans MT"/>
        </w:rPr>
        <w:t xml:space="preserve"> which are available on the evaluation section of the NERUPI website (</w:t>
      </w:r>
      <w:hyperlink r:id="rId8" w:history="1">
        <w:r w:rsidR="00AF76A3" w:rsidRPr="00AF76A3">
          <w:rPr>
            <w:rStyle w:val="Hyperlink"/>
            <w:rFonts w:ascii="Gill Sans MT" w:hAnsi="Gill Sans MT"/>
          </w:rPr>
          <w:t>https://www.nerupi.co.uk/members/toolkit/evaluation</w:t>
        </w:r>
      </w:hyperlink>
      <w:r w:rsidR="00AF76A3">
        <w:rPr>
          <w:rFonts w:ascii="Gill Sans MT" w:hAnsi="Gill Sans MT"/>
        </w:rPr>
        <w:t>)</w:t>
      </w:r>
      <w:r w:rsidR="00A53A39">
        <w:rPr>
          <w:rFonts w:ascii="Gill Sans MT" w:hAnsi="Gill Sans MT"/>
        </w:rPr>
        <w:t xml:space="preserve">. </w:t>
      </w:r>
    </w:p>
    <w:p w14:paraId="078D5992" w14:textId="40DEBD31" w:rsidR="005A06F1" w:rsidRDefault="005A06F1" w:rsidP="00C700A2">
      <w:pPr>
        <w:rPr>
          <w:rFonts w:ascii="Gill Sans MT" w:hAnsi="Gill Sans MT"/>
        </w:rPr>
      </w:pPr>
      <w:r>
        <w:rPr>
          <w:rFonts w:ascii="Gill Sans MT" w:hAnsi="Gill Sans MT"/>
        </w:rPr>
        <w:t>ELEMENTS OF THE NERUPI APPROACH</w:t>
      </w:r>
    </w:p>
    <w:p w14:paraId="525AEC33" w14:textId="3C6FD580" w:rsidR="005A06F1" w:rsidRDefault="002821F6" w:rsidP="00C700A2">
      <w:pPr>
        <w:rPr>
          <w:rFonts w:ascii="Gill Sans MT" w:hAnsi="Gill Sans MT"/>
        </w:rPr>
      </w:pPr>
      <w:r>
        <w:rPr>
          <w:rFonts w:ascii="Gill Sans MT" w:hAnsi="Gill Sans MT"/>
        </w:rPr>
        <w:t xml:space="preserve">The NERUPI approach is </w:t>
      </w:r>
      <w:r w:rsidR="00E95CC5">
        <w:rPr>
          <w:rFonts w:ascii="Gill Sans MT" w:hAnsi="Gill Sans MT"/>
        </w:rPr>
        <w:t xml:space="preserve">designed to </w:t>
      </w:r>
      <w:r w:rsidR="00B1204A">
        <w:rPr>
          <w:rFonts w:ascii="Gill Sans MT" w:hAnsi="Gill Sans MT"/>
        </w:rPr>
        <w:t xml:space="preserve">encapsulate both a </w:t>
      </w:r>
      <w:r w:rsidR="00236F34">
        <w:rPr>
          <w:rFonts w:ascii="Gill Sans MT" w:hAnsi="Gill Sans MT"/>
        </w:rPr>
        <w:t xml:space="preserve">reflexive </w:t>
      </w:r>
      <w:r w:rsidR="00B1204A">
        <w:rPr>
          <w:rFonts w:ascii="Gill Sans MT" w:hAnsi="Gill Sans MT"/>
        </w:rPr>
        <w:t xml:space="preserve">process and focus for </w:t>
      </w:r>
      <w:r w:rsidR="00236F34">
        <w:rPr>
          <w:rFonts w:ascii="Gill Sans MT" w:hAnsi="Gill Sans MT"/>
        </w:rPr>
        <w:t xml:space="preserve">evaluating access, </w:t>
      </w:r>
      <w:proofErr w:type="gramStart"/>
      <w:r w:rsidR="00236F34">
        <w:rPr>
          <w:rFonts w:ascii="Gill Sans MT" w:hAnsi="Gill Sans MT"/>
        </w:rPr>
        <w:t>participation</w:t>
      </w:r>
      <w:proofErr w:type="gramEnd"/>
      <w:r w:rsidR="00236F34">
        <w:rPr>
          <w:rFonts w:ascii="Gill Sans MT" w:hAnsi="Gill Sans MT"/>
        </w:rPr>
        <w:t xml:space="preserve"> and success</w:t>
      </w:r>
      <w:r w:rsidR="00B1204A">
        <w:rPr>
          <w:rFonts w:ascii="Gill Sans MT" w:hAnsi="Gill Sans MT"/>
        </w:rPr>
        <w:t xml:space="preserve">. In that sense it </w:t>
      </w:r>
      <w:r w:rsidR="00236F34">
        <w:rPr>
          <w:rFonts w:ascii="Gill Sans MT" w:hAnsi="Gill Sans MT"/>
        </w:rPr>
        <w:t>offers a meta-</w:t>
      </w:r>
      <w:r w:rsidR="00536D00">
        <w:rPr>
          <w:rFonts w:ascii="Gill Sans MT" w:hAnsi="Gill Sans MT"/>
        </w:rPr>
        <w:t xml:space="preserve">evaluation framework, that can be adapted </w:t>
      </w:r>
      <w:r w:rsidR="00410D36">
        <w:rPr>
          <w:rFonts w:ascii="Gill Sans MT" w:hAnsi="Gill Sans MT"/>
        </w:rPr>
        <w:t xml:space="preserve">locally. The two main tools are: </w:t>
      </w:r>
    </w:p>
    <w:p w14:paraId="255267E9" w14:textId="3C3D8D37" w:rsidR="00410D36" w:rsidRPr="00513747" w:rsidRDefault="00494BB7" w:rsidP="00513747">
      <w:pPr>
        <w:pStyle w:val="ListBullet"/>
      </w:pPr>
      <w:r w:rsidRPr="00513747">
        <w:t>A People-Process-Context-</w:t>
      </w:r>
      <w:r w:rsidR="00AE6EF4">
        <w:t>Consequences (p-p-c-c)</w:t>
      </w:r>
      <w:r w:rsidRPr="00513747">
        <w:t xml:space="preserve"> </w:t>
      </w:r>
      <w:r w:rsidR="00C06BAC" w:rsidRPr="00513747">
        <w:t>framework</w:t>
      </w:r>
      <w:r w:rsidRPr="00513747">
        <w:t xml:space="preserve"> </w:t>
      </w:r>
      <w:r w:rsidR="001D0454" w:rsidRPr="00513747">
        <w:t xml:space="preserve">to systematically </w:t>
      </w:r>
      <w:r w:rsidR="0027003F">
        <w:t xml:space="preserve">focus the evaluation and </w:t>
      </w:r>
      <w:r w:rsidR="001D0454" w:rsidRPr="00513747">
        <w:t xml:space="preserve">guide </w:t>
      </w:r>
      <w:r w:rsidR="00C04587">
        <w:t xml:space="preserve">the process of making a </w:t>
      </w:r>
      <w:r w:rsidR="00D10C1A" w:rsidRPr="00513747">
        <w:t>judgment about programme effectiveness for continuous improvement</w:t>
      </w:r>
    </w:p>
    <w:p w14:paraId="1B4B6417" w14:textId="1430350C" w:rsidR="00533727" w:rsidRPr="00513747" w:rsidRDefault="00494BB7" w:rsidP="00513747">
      <w:pPr>
        <w:pStyle w:val="ListBullet"/>
      </w:pPr>
      <w:r w:rsidRPr="00513747">
        <w:t xml:space="preserve">A </w:t>
      </w:r>
      <w:r w:rsidR="00B915AF" w:rsidRPr="00513747">
        <w:t xml:space="preserve">staged process for deciding, designing, </w:t>
      </w:r>
      <w:proofErr w:type="gramStart"/>
      <w:r w:rsidR="00B915AF" w:rsidRPr="00513747">
        <w:t>implementing</w:t>
      </w:r>
      <w:proofErr w:type="gramEnd"/>
      <w:r w:rsidR="00B915AF" w:rsidRPr="00513747">
        <w:t xml:space="preserve"> and using evaluation. </w:t>
      </w:r>
    </w:p>
    <w:p w14:paraId="24A7DDE4" w14:textId="24DCC2AB" w:rsidR="0037056A" w:rsidRDefault="0037056A" w:rsidP="0076633C">
      <w:pPr>
        <w:rPr>
          <w:rFonts w:ascii="Gill Sans MT" w:hAnsi="Gill Sans MT"/>
        </w:rPr>
      </w:pPr>
      <w:r>
        <w:rPr>
          <w:rFonts w:ascii="Gill Sans MT" w:hAnsi="Gill Sans MT"/>
        </w:rPr>
        <w:t>These elements are summarise</w:t>
      </w:r>
      <w:r w:rsidR="007D1934">
        <w:rPr>
          <w:rFonts w:ascii="Gill Sans MT" w:hAnsi="Gill Sans MT"/>
        </w:rPr>
        <w:t>d</w:t>
      </w:r>
      <w:r>
        <w:rPr>
          <w:rFonts w:ascii="Gill Sans MT" w:hAnsi="Gill Sans MT"/>
        </w:rPr>
        <w:t xml:space="preserve"> in Figure 1 and discussed </w:t>
      </w:r>
      <w:r w:rsidR="007D0DB8">
        <w:rPr>
          <w:rFonts w:ascii="Gill Sans MT" w:hAnsi="Gill Sans MT"/>
        </w:rPr>
        <w:t xml:space="preserve">further </w:t>
      </w:r>
      <w:r>
        <w:rPr>
          <w:rFonts w:ascii="Gill Sans MT" w:hAnsi="Gill Sans MT"/>
        </w:rPr>
        <w:t xml:space="preserve">below. </w:t>
      </w:r>
    </w:p>
    <w:p w14:paraId="02CE44F6" w14:textId="46BE759F" w:rsidR="00B81E50" w:rsidRDefault="00B81E50" w:rsidP="0076633C">
      <w:pPr>
        <w:rPr>
          <w:rFonts w:ascii="Gill Sans MT" w:hAnsi="Gill Sans MT"/>
        </w:rPr>
      </w:pPr>
      <w:r>
        <w:rPr>
          <w:rFonts w:ascii="Gill Sans MT" w:hAnsi="Gill Sans MT"/>
        </w:rPr>
        <w:t>Figure 1</w:t>
      </w:r>
      <w:r w:rsidR="00FD1ED7">
        <w:rPr>
          <w:rFonts w:ascii="Gill Sans MT" w:hAnsi="Gill Sans MT"/>
        </w:rPr>
        <w:t>: NERUPI approach and process map</w:t>
      </w:r>
    </w:p>
    <w:p w14:paraId="310C452F" w14:textId="7A629B4F" w:rsidR="00B81E50" w:rsidRDefault="00565107" w:rsidP="00D56451">
      <w:pPr>
        <w:ind w:left="-426"/>
        <w:rPr>
          <w:rFonts w:ascii="Gill Sans MT" w:hAnsi="Gill Sans MT"/>
        </w:rPr>
      </w:pPr>
      <w:r>
        <w:rPr>
          <w:rFonts w:ascii="Gill Sans MT" w:hAnsi="Gill Sans MT"/>
          <w:noProof/>
        </w:rPr>
        <w:drawing>
          <wp:inline distT="0" distB="0" distL="0" distR="0" wp14:anchorId="33ED0D2D" wp14:editId="767669E2">
            <wp:extent cx="6188710" cy="3660775"/>
            <wp:effectExtent l="0" t="0" r="2540" b="0"/>
            <wp:docPr id="379351673" name="Picture 1" descr="A diagram with text and blu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51673" name="Picture 1" descr="A diagram with text and blue circl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88710" cy="3660775"/>
                    </a:xfrm>
                    <a:prstGeom prst="rect">
                      <a:avLst/>
                    </a:prstGeom>
                  </pic:spPr>
                </pic:pic>
              </a:graphicData>
            </a:graphic>
          </wp:inline>
        </w:drawing>
      </w:r>
    </w:p>
    <w:p w14:paraId="45A9D2D0" w14:textId="6C160AC3" w:rsidR="0076633C" w:rsidRPr="002C0B1A" w:rsidRDefault="002C0B1A" w:rsidP="00AF76A3">
      <w:pPr>
        <w:keepNext/>
        <w:rPr>
          <w:rFonts w:ascii="Gill Sans MT" w:hAnsi="Gill Sans MT"/>
        </w:rPr>
      </w:pPr>
      <w:r w:rsidRPr="002C0B1A">
        <w:rPr>
          <w:rFonts w:ascii="Gill Sans MT" w:hAnsi="Gill Sans MT"/>
        </w:rPr>
        <w:lastRenderedPageBreak/>
        <w:t>RATIONALE</w:t>
      </w:r>
    </w:p>
    <w:p w14:paraId="6E243EC0" w14:textId="24F23C61" w:rsidR="002C0B1A" w:rsidRPr="002C0B1A" w:rsidRDefault="002C0B1A" w:rsidP="005969D5">
      <w:pPr>
        <w:rPr>
          <w:rFonts w:ascii="Gill Sans MT" w:hAnsi="Gill Sans MT"/>
        </w:rPr>
      </w:pPr>
      <w:r w:rsidRPr="002C0B1A">
        <w:rPr>
          <w:rFonts w:ascii="Gill Sans MT" w:hAnsi="Gill Sans MT"/>
        </w:rPr>
        <w:t xml:space="preserve">Understanding impact is important for decision-making on investments, but meaningful and utilisation-focused approaches to evaluation also need to </w:t>
      </w:r>
      <w:r w:rsidR="0038797D">
        <w:rPr>
          <w:rFonts w:ascii="Gill Sans MT" w:hAnsi="Gill Sans MT"/>
        </w:rPr>
        <w:t xml:space="preserve">be </w:t>
      </w:r>
      <w:r w:rsidRPr="002C0B1A">
        <w:rPr>
          <w:rFonts w:ascii="Gill Sans MT" w:hAnsi="Gill Sans MT"/>
        </w:rPr>
        <w:t xml:space="preserve">capable </w:t>
      </w:r>
      <w:proofErr w:type="gramStart"/>
      <w:r w:rsidR="0038797D">
        <w:rPr>
          <w:rFonts w:ascii="Gill Sans MT" w:hAnsi="Gill Sans MT"/>
        </w:rPr>
        <w:t xml:space="preserve">demonstrating </w:t>
      </w:r>
      <w:r w:rsidRPr="002C0B1A">
        <w:rPr>
          <w:rFonts w:ascii="Gill Sans MT" w:hAnsi="Gill Sans MT"/>
        </w:rPr>
        <w:t xml:space="preserve"> why</w:t>
      </w:r>
      <w:proofErr w:type="gramEnd"/>
      <w:r w:rsidRPr="002C0B1A">
        <w:rPr>
          <w:rFonts w:ascii="Gill Sans MT" w:hAnsi="Gill Sans MT"/>
        </w:rPr>
        <w:t xml:space="preserve"> and how access and participation work generates impact </w:t>
      </w:r>
      <w:r w:rsidR="0038797D">
        <w:rPr>
          <w:rFonts w:ascii="Gill Sans MT" w:hAnsi="Gill Sans MT"/>
        </w:rPr>
        <w:t xml:space="preserve">to support and inform the </w:t>
      </w:r>
      <w:r w:rsidRPr="002C0B1A">
        <w:rPr>
          <w:rFonts w:ascii="Gill Sans MT" w:hAnsi="Gill Sans MT"/>
        </w:rPr>
        <w:t xml:space="preserve"> stakeholders who use and learn from evaluation to improve what is delivered. We believe that meaningful evaluation is:</w:t>
      </w:r>
    </w:p>
    <w:p w14:paraId="7F88395E" w14:textId="2B77F56E" w:rsidR="002C0B1A" w:rsidRPr="0027003F" w:rsidRDefault="002C0B1A" w:rsidP="0027003F">
      <w:pPr>
        <w:pStyle w:val="ListBullet"/>
      </w:pPr>
      <w:r w:rsidRPr="0027003F">
        <w:t xml:space="preserve">Embedded into </w:t>
      </w:r>
      <w:r w:rsidR="0038797D">
        <w:t xml:space="preserve">planning and </w:t>
      </w:r>
      <w:r w:rsidRPr="0027003F">
        <w:t>delivery of access and participation and the culture of the organisation (not bolted on)</w:t>
      </w:r>
    </w:p>
    <w:p w14:paraId="280DC176" w14:textId="358C382E" w:rsidR="002C0B1A" w:rsidRPr="0027003F" w:rsidRDefault="002C0B1A" w:rsidP="0027003F">
      <w:pPr>
        <w:pStyle w:val="ListBullet"/>
      </w:pPr>
      <w:r w:rsidRPr="0027003F">
        <w:t xml:space="preserve">Promotes ownership of evaluation by practitioners and values practice knowledge as well as </w:t>
      </w:r>
      <w:r w:rsidR="0038797D">
        <w:t xml:space="preserve">educational theory and </w:t>
      </w:r>
      <w:r w:rsidRPr="0027003F">
        <w:t>the views of evaluators</w:t>
      </w:r>
    </w:p>
    <w:p w14:paraId="32C39E84" w14:textId="1DBDFCDA" w:rsidR="002C0B1A" w:rsidRPr="0027003F" w:rsidRDefault="002C0B1A" w:rsidP="0027003F">
      <w:pPr>
        <w:pStyle w:val="ListBullet"/>
      </w:pPr>
      <w:r w:rsidRPr="0027003F">
        <w:t xml:space="preserve">Starts with </w:t>
      </w:r>
      <w:r w:rsidR="0038797D">
        <w:t>strong</w:t>
      </w:r>
      <w:r w:rsidR="0038797D" w:rsidRPr="0027003F">
        <w:t xml:space="preserve"> </w:t>
      </w:r>
      <w:r w:rsidRPr="0027003F">
        <w:t xml:space="preserve">questions that aim </w:t>
      </w:r>
      <w:r w:rsidR="0038797D">
        <w:t xml:space="preserve">to provide insights that will </w:t>
      </w:r>
      <w:r w:rsidRPr="0027003F">
        <w:t>improve the situation for our target groups (rather than to deflect the questions of others)</w:t>
      </w:r>
    </w:p>
    <w:p w14:paraId="15A4EED8" w14:textId="338796D5" w:rsidR="002C0B1A" w:rsidRPr="0027003F" w:rsidRDefault="002C0B1A" w:rsidP="0027003F">
      <w:pPr>
        <w:pStyle w:val="ListBullet"/>
      </w:pPr>
      <w:r w:rsidRPr="0027003F">
        <w:t>Prioritises reflection and learning (rather than ‘proving’</w:t>
      </w:r>
      <w:r w:rsidR="0038797D">
        <w:t xml:space="preserve"> and ‘testing</w:t>
      </w:r>
      <w:proofErr w:type="gramStart"/>
      <w:r w:rsidR="0038797D">
        <w:t xml:space="preserve">’ </w:t>
      </w:r>
      <w:r w:rsidRPr="0027003F">
        <w:t>)</w:t>
      </w:r>
      <w:proofErr w:type="gramEnd"/>
    </w:p>
    <w:p w14:paraId="0A9EEE83" w14:textId="40594328" w:rsidR="00E73E6F" w:rsidRPr="0027003F" w:rsidRDefault="002C0B1A" w:rsidP="0027003F">
      <w:pPr>
        <w:pStyle w:val="ListBullet"/>
      </w:pPr>
      <w:r w:rsidRPr="0027003F">
        <w:t>Helps to enhance relationships and generates continuous improvement.</w:t>
      </w:r>
    </w:p>
    <w:p w14:paraId="17769400" w14:textId="4B21D3FC" w:rsidR="002C0B1A" w:rsidRDefault="00E857BD" w:rsidP="002C0B1A">
      <w:pPr>
        <w:rPr>
          <w:rFonts w:ascii="Gill Sans MT" w:hAnsi="Gill Sans MT"/>
        </w:rPr>
      </w:pPr>
      <w:r w:rsidRPr="00E857BD">
        <w:rPr>
          <w:rFonts w:ascii="Gill Sans MT" w:hAnsi="Gill Sans MT"/>
        </w:rPr>
        <w:t xml:space="preserve">The approach argues for an integrated model – i.e. actors with a stake in policy formulation, programme implementation, and evaluation working together in an integrated way. </w:t>
      </w:r>
      <w:r w:rsidR="009A2CD3">
        <w:rPr>
          <w:rFonts w:ascii="Gill Sans MT" w:hAnsi="Gill Sans MT"/>
        </w:rPr>
        <w:t>Therefore evaluation needs to be relevant to P</w:t>
      </w:r>
      <w:r w:rsidR="002C0B1A" w:rsidRPr="00E73E6F">
        <w:rPr>
          <w:rFonts w:ascii="Gill Sans MT" w:hAnsi="Gill Sans MT"/>
        </w:rPr>
        <w:t>raxis Teams (</w:t>
      </w:r>
      <w:hyperlink r:id="rId10" w:history="1">
        <w:r w:rsidR="00106F84" w:rsidRPr="002A5AE9">
          <w:rPr>
            <w:rStyle w:val="Hyperlink"/>
            <w:rFonts w:ascii="Gill Sans MT" w:hAnsi="Gill Sans MT"/>
          </w:rPr>
          <w:t>https://www.nerupi.co.uk/members/toolkit/basics/communities-of-praxis</w:t>
        </w:r>
      </w:hyperlink>
      <w:r w:rsidR="002C0B1A" w:rsidRPr="00E73E6F">
        <w:rPr>
          <w:rFonts w:ascii="Gill Sans MT" w:hAnsi="Gill Sans MT"/>
        </w:rPr>
        <w:t>)</w:t>
      </w:r>
      <w:r w:rsidR="00106F84">
        <w:rPr>
          <w:rFonts w:ascii="Gill Sans MT" w:hAnsi="Gill Sans MT"/>
        </w:rPr>
        <w:t xml:space="preserve">. </w:t>
      </w:r>
    </w:p>
    <w:p w14:paraId="0FF0E326" w14:textId="69AB8E1B" w:rsidR="009A2CD3" w:rsidRDefault="00C06BAC" w:rsidP="002C0B1A">
      <w:pPr>
        <w:rPr>
          <w:rFonts w:ascii="Gill Sans MT" w:hAnsi="Gill Sans MT"/>
        </w:rPr>
      </w:pPr>
      <w:r>
        <w:rPr>
          <w:rFonts w:ascii="Gill Sans MT" w:hAnsi="Gill Sans MT"/>
        </w:rPr>
        <w:t>PEOPLE-PROCESS-CONTEXT-</w:t>
      </w:r>
      <w:r w:rsidR="00DD12A2">
        <w:rPr>
          <w:rFonts w:ascii="Gill Sans MT" w:hAnsi="Gill Sans MT"/>
        </w:rPr>
        <w:t>CONSEQUENCES</w:t>
      </w:r>
      <w:r>
        <w:rPr>
          <w:rFonts w:ascii="Gill Sans MT" w:hAnsi="Gill Sans MT"/>
        </w:rPr>
        <w:t xml:space="preserve"> FRAMEWORK</w:t>
      </w:r>
    </w:p>
    <w:p w14:paraId="0EC31F54" w14:textId="05FF0FF4" w:rsidR="00C06BAC" w:rsidRPr="00C06BAC" w:rsidRDefault="00C06BAC" w:rsidP="0027003F">
      <w:pPr>
        <w:rPr>
          <w:rFonts w:ascii="Gill Sans MT" w:hAnsi="Gill Sans MT"/>
        </w:rPr>
      </w:pPr>
      <w:r w:rsidRPr="00C06BAC">
        <w:rPr>
          <w:rFonts w:ascii="Gill Sans MT" w:hAnsi="Gill Sans MT"/>
        </w:rPr>
        <w:t xml:space="preserve">Quality and impact in higher education access, participation and success requires assessment </w:t>
      </w:r>
      <w:r w:rsidR="0038797D">
        <w:rPr>
          <w:rFonts w:ascii="Gill Sans MT" w:hAnsi="Gill Sans MT"/>
        </w:rPr>
        <w:t xml:space="preserve">of the extent to which </w:t>
      </w:r>
      <w:r w:rsidRPr="00C06BAC">
        <w:rPr>
          <w:rFonts w:ascii="Gill Sans MT" w:hAnsi="Gill Sans MT"/>
        </w:rPr>
        <w:t xml:space="preserve">strategies are meeting the needs </w:t>
      </w:r>
      <w:r w:rsidR="0038797D">
        <w:rPr>
          <w:rFonts w:ascii="Gill Sans MT" w:hAnsi="Gill Sans MT"/>
        </w:rPr>
        <w:t xml:space="preserve">of </w:t>
      </w:r>
      <w:r w:rsidRPr="00C06BAC">
        <w:rPr>
          <w:rFonts w:ascii="Gill Sans MT" w:hAnsi="Gill Sans MT"/>
        </w:rPr>
        <w:t xml:space="preserve">the operational processes involved, as well as the outcomes. The Context, People, Process, </w:t>
      </w:r>
      <w:r w:rsidR="006617CD">
        <w:rPr>
          <w:rFonts w:ascii="Gill Sans MT" w:hAnsi="Gill Sans MT"/>
        </w:rPr>
        <w:t>Consequences model</w:t>
      </w:r>
      <w:r w:rsidRPr="00C06BAC">
        <w:rPr>
          <w:rFonts w:ascii="Gill Sans MT" w:hAnsi="Gill Sans MT"/>
        </w:rPr>
        <w:t xml:space="preserve"> </w:t>
      </w:r>
      <w:r w:rsidR="0038797D">
        <w:rPr>
          <w:rFonts w:ascii="Gill Sans MT" w:hAnsi="Gill Sans MT"/>
        </w:rPr>
        <w:t xml:space="preserve">aims to </w:t>
      </w:r>
      <w:r w:rsidRPr="00C06BAC">
        <w:rPr>
          <w:rFonts w:ascii="Gill Sans MT" w:hAnsi="Gill Sans MT"/>
        </w:rPr>
        <w:t xml:space="preserve">provide a comprehensive picture in order to make the best decisions related to interventions and support continual improvement. </w:t>
      </w:r>
      <w:r w:rsidR="004C58C8">
        <w:rPr>
          <w:rFonts w:ascii="Gill Sans MT" w:hAnsi="Gill Sans MT"/>
        </w:rPr>
        <w:t xml:space="preserve">The approach draws on </w:t>
      </w:r>
      <w:r w:rsidR="004C58C8" w:rsidRPr="004C58C8">
        <w:rPr>
          <w:rFonts w:ascii="Gill Sans MT" w:hAnsi="Gill Sans MT"/>
        </w:rPr>
        <w:t>realist &amp; theory-oriented evaluation</w:t>
      </w:r>
      <w:r w:rsidR="004C58C8">
        <w:rPr>
          <w:rFonts w:ascii="Gill Sans MT" w:hAnsi="Gill Sans MT"/>
        </w:rPr>
        <w:t xml:space="preserve"> thinking which holds that</w:t>
      </w:r>
      <w:r w:rsidR="004C58C8" w:rsidRPr="004C58C8">
        <w:rPr>
          <w:rFonts w:ascii="Gill Sans MT" w:hAnsi="Gill Sans MT"/>
        </w:rPr>
        <w:t xml:space="preserve"> the context and participants are inseparable elements embedded in programmes and fundamental to the results. </w:t>
      </w:r>
      <w:r w:rsidR="0038797D">
        <w:rPr>
          <w:rFonts w:ascii="Gill Sans MT" w:hAnsi="Gill Sans MT"/>
        </w:rPr>
        <w:t>As the</w:t>
      </w:r>
      <w:r w:rsidR="00A52C7C">
        <w:rPr>
          <w:rFonts w:ascii="Gill Sans MT" w:hAnsi="Gill Sans MT"/>
        </w:rPr>
        <w:t xml:space="preserve"> aim of access, participation and success initiatives is to address </w:t>
      </w:r>
      <w:r w:rsidR="00047D0A">
        <w:rPr>
          <w:rFonts w:ascii="Gill Sans MT" w:hAnsi="Gill Sans MT"/>
        </w:rPr>
        <w:t>social i</w:t>
      </w:r>
      <w:r w:rsidR="00A52C7C">
        <w:rPr>
          <w:rFonts w:ascii="Gill Sans MT" w:hAnsi="Gill Sans MT"/>
        </w:rPr>
        <w:t>nequalit</w:t>
      </w:r>
      <w:r w:rsidR="00047D0A">
        <w:rPr>
          <w:rFonts w:ascii="Gill Sans MT" w:hAnsi="Gill Sans MT"/>
        </w:rPr>
        <w:t xml:space="preserve">ies </w:t>
      </w:r>
      <w:r w:rsidR="0038797D">
        <w:rPr>
          <w:rFonts w:ascii="Gill Sans MT" w:hAnsi="Gill Sans MT"/>
        </w:rPr>
        <w:t xml:space="preserve">exploring and agreeing which </w:t>
      </w:r>
      <w:r w:rsidR="005B28D3">
        <w:rPr>
          <w:rFonts w:ascii="Gill Sans MT" w:hAnsi="Gill Sans MT"/>
        </w:rPr>
        <w:t xml:space="preserve">objectives and </w:t>
      </w:r>
      <w:r w:rsidR="004C58C8" w:rsidRPr="004C58C8">
        <w:rPr>
          <w:rFonts w:ascii="Gill Sans MT" w:hAnsi="Gill Sans MT"/>
        </w:rPr>
        <w:t>factors are within scope of a</w:t>
      </w:r>
      <w:r w:rsidR="00047D0A">
        <w:rPr>
          <w:rFonts w:ascii="Gill Sans MT" w:hAnsi="Gill Sans MT"/>
        </w:rPr>
        <w:t xml:space="preserve"> programmes and </w:t>
      </w:r>
      <w:r w:rsidR="004C58C8" w:rsidRPr="004C58C8">
        <w:rPr>
          <w:rFonts w:ascii="Gill Sans MT" w:hAnsi="Gill Sans MT"/>
        </w:rPr>
        <w:t>what is outside the surrounding context can be an illuminating exercise.</w:t>
      </w:r>
    </w:p>
    <w:p w14:paraId="6E958067" w14:textId="34B82BB8" w:rsidR="00C06BAC" w:rsidRDefault="00C06BAC" w:rsidP="00C06BAC">
      <w:pPr>
        <w:rPr>
          <w:rFonts w:ascii="Gill Sans MT" w:hAnsi="Gill Sans MT"/>
        </w:rPr>
      </w:pPr>
      <w:r w:rsidRPr="00C06BAC">
        <w:rPr>
          <w:rFonts w:ascii="Gill Sans MT" w:hAnsi="Gill Sans MT"/>
        </w:rPr>
        <w:t xml:space="preserve">The model aims to be formative as well as summative, unlike impact evaluation approaches which focus on the retrospective assessment of whether objectives have been met, and seek to attribute the results to the action, often through an experimental approach. The model can help to systematically guide both evaluators and stakeholders (as part of a praxis team) in posing relevant questions and conducting assessments before, during and at the end of a programme. The model is designed to support ’learning by doing’ in the context of emergent and dynamic projects and programmes and is seeking improvement as well as attribution. </w:t>
      </w:r>
    </w:p>
    <w:p w14:paraId="494E5F62" w14:textId="437AB274" w:rsidR="003A2390" w:rsidRPr="00C06BAC" w:rsidRDefault="003A2390" w:rsidP="004F151C">
      <w:pPr>
        <w:spacing w:after="0"/>
        <w:rPr>
          <w:rFonts w:ascii="Gill Sans MT" w:hAnsi="Gill Sans MT"/>
        </w:rPr>
      </w:pPr>
      <w:r>
        <w:rPr>
          <w:rFonts w:ascii="Gill Sans MT" w:hAnsi="Gill Sans MT"/>
        </w:rPr>
        <w:t>Table 1: Framework dimensions and aims</w:t>
      </w:r>
    </w:p>
    <w:tbl>
      <w:tblPr>
        <w:tblStyle w:val="TableGrid"/>
        <w:tblW w:w="9664" w:type="dxa"/>
        <w:tblLook w:val="04A0" w:firstRow="1" w:lastRow="0" w:firstColumn="1" w:lastColumn="0" w:noHBand="0" w:noVBand="1"/>
      </w:tblPr>
      <w:tblGrid>
        <w:gridCol w:w="2122"/>
        <w:gridCol w:w="5103"/>
        <w:gridCol w:w="2439"/>
      </w:tblGrid>
      <w:tr w:rsidR="00C06BAC" w:rsidRPr="00AF76A3" w14:paraId="05E8F9BB" w14:textId="77777777" w:rsidTr="00544779">
        <w:tc>
          <w:tcPr>
            <w:tcW w:w="2122" w:type="dxa"/>
          </w:tcPr>
          <w:p w14:paraId="786BD3AB" w14:textId="77777777" w:rsidR="00C06BAC" w:rsidRPr="00AF76A3" w:rsidRDefault="00C06BAC" w:rsidP="000B2E60">
            <w:pPr>
              <w:pStyle w:val="Table"/>
              <w:rPr>
                <w:sz w:val="18"/>
                <w:szCs w:val="28"/>
              </w:rPr>
            </w:pPr>
            <w:r w:rsidRPr="00AF76A3">
              <w:rPr>
                <w:sz w:val="18"/>
                <w:szCs w:val="28"/>
              </w:rPr>
              <w:t>Dimension</w:t>
            </w:r>
          </w:p>
        </w:tc>
        <w:tc>
          <w:tcPr>
            <w:tcW w:w="5103" w:type="dxa"/>
          </w:tcPr>
          <w:p w14:paraId="5BA448D2" w14:textId="77777777" w:rsidR="00C06BAC" w:rsidRPr="00AF76A3" w:rsidRDefault="00C06BAC" w:rsidP="000B2E60">
            <w:pPr>
              <w:pStyle w:val="Table"/>
              <w:rPr>
                <w:sz w:val="18"/>
                <w:szCs w:val="28"/>
              </w:rPr>
            </w:pPr>
            <w:r w:rsidRPr="00AF76A3">
              <w:rPr>
                <w:sz w:val="18"/>
                <w:szCs w:val="28"/>
              </w:rPr>
              <w:t>Aims</w:t>
            </w:r>
          </w:p>
        </w:tc>
        <w:tc>
          <w:tcPr>
            <w:tcW w:w="2439" w:type="dxa"/>
          </w:tcPr>
          <w:p w14:paraId="488A8A50" w14:textId="67AB410A" w:rsidR="00C06BAC" w:rsidRPr="00AF76A3" w:rsidRDefault="00717161" w:rsidP="000B2E60">
            <w:pPr>
              <w:pStyle w:val="Table"/>
              <w:rPr>
                <w:sz w:val="18"/>
                <w:szCs w:val="28"/>
              </w:rPr>
            </w:pPr>
            <w:r w:rsidRPr="00AF76A3">
              <w:rPr>
                <w:sz w:val="18"/>
                <w:szCs w:val="28"/>
              </w:rPr>
              <w:t>Questions</w:t>
            </w:r>
          </w:p>
        </w:tc>
      </w:tr>
      <w:tr w:rsidR="00C06BAC" w:rsidRPr="00AF76A3" w14:paraId="25FCB265" w14:textId="77777777" w:rsidTr="00544779">
        <w:tc>
          <w:tcPr>
            <w:tcW w:w="2122" w:type="dxa"/>
          </w:tcPr>
          <w:p w14:paraId="55C1262B" w14:textId="77777777" w:rsidR="00C06BAC" w:rsidRPr="00AF76A3" w:rsidRDefault="00C06BAC" w:rsidP="000B2E60">
            <w:pPr>
              <w:pStyle w:val="Table"/>
              <w:rPr>
                <w:sz w:val="18"/>
                <w:szCs w:val="28"/>
              </w:rPr>
            </w:pPr>
            <w:r w:rsidRPr="00AF76A3">
              <w:rPr>
                <w:sz w:val="18"/>
                <w:szCs w:val="28"/>
              </w:rPr>
              <w:t>People</w:t>
            </w:r>
          </w:p>
          <w:p w14:paraId="6DE2120A" w14:textId="77777777" w:rsidR="00C06BAC" w:rsidRPr="00AF76A3" w:rsidRDefault="00C06BAC" w:rsidP="000B2E60">
            <w:pPr>
              <w:pStyle w:val="Table"/>
              <w:rPr>
                <w:sz w:val="18"/>
                <w:szCs w:val="28"/>
              </w:rPr>
            </w:pPr>
          </w:p>
          <w:p w14:paraId="14DB0258" w14:textId="67B2E6F3" w:rsidR="00C06BAC" w:rsidRPr="00AF76A3" w:rsidRDefault="00C06BAC" w:rsidP="000B2E60">
            <w:pPr>
              <w:pStyle w:val="Table"/>
              <w:rPr>
                <w:sz w:val="18"/>
                <w:szCs w:val="28"/>
              </w:rPr>
            </w:pPr>
          </w:p>
        </w:tc>
        <w:tc>
          <w:tcPr>
            <w:tcW w:w="5103" w:type="dxa"/>
          </w:tcPr>
          <w:p w14:paraId="30F5B56C" w14:textId="6B419A75" w:rsidR="00C06BAC" w:rsidRPr="00AF76A3" w:rsidRDefault="00C06BAC" w:rsidP="000B2E60">
            <w:pPr>
              <w:pStyle w:val="Table"/>
              <w:rPr>
                <w:sz w:val="18"/>
                <w:szCs w:val="28"/>
              </w:rPr>
            </w:pPr>
            <w:r w:rsidRPr="00AF76A3">
              <w:rPr>
                <w:sz w:val="18"/>
                <w:szCs w:val="28"/>
              </w:rPr>
              <w:t xml:space="preserve">Assess </w:t>
            </w:r>
            <w:r w:rsidR="00544779" w:rsidRPr="00AF76A3">
              <w:rPr>
                <w:sz w:val="18"/>
                <w:szCs w:val="28"/>
              </w:rPr>
              <w:t xml:space="preserve">what’s required, </w:t>
            </w:r>
            <w:r w:rsidRPr="00AF76A3">
              <w:rPr>
                <w:sz w:val="18"/>
                <w:szCs w:val="28"/>
              </w:rPr>
              <w:t>whether the pr</w:t>
            </w:r>
            <w:r w:rsidR="000A4CF7" w:rsidRPr="00AF76A3">
              <w:rPr>
                <w:sz w:val="18"/>
                <w:szCs w:val="28"/>
              </w:rPr>
              <w:t>ogramme is</w:t>
            </w:r>
            <w:r w:rsidRPr="00AF76A3">
              <w:rPr>
                <w:sz w:val="18"/>
                <w:szCs w:val="28"/>
              </w:rPr>
              <w:t xml:space="preserve"> responding to the needs </w:t>
            </w:r>
            <w:r w:rsidR="000A4CF7" w:rsidRPr="00AF76A3">
              <w:rPr>
                <w:sz w:val="18"/>
                <w:szCs w:val="28"/>
              </w:rPr>
              <w:t xml:space="preserve">of the target group(s) </w:t>
            </w:r>
            <w:r w:rsidRPr="00AF76A3">
              <w:rPr>
                <w:sz w:val="18"/>
                <w:szCs w:val="28"/>
              </w:rPr>
              <w:t xml:space="preserve">and </w:t>
            </w:r>
            <w:r w:rsidR="00D3086C" w:rsidRPr="00AF76A3">
              <w:rPr>
                <w:sz w:val="18"/>
                <w:szCs w:val="28"/>
              </w:rPr>
              <w:t>make sure the evaluation understands</w:t>
            </w:r>
            <w:r w:rsidRPr="00AF76A3">
              <w:rPr>
                <w:sz w:val="18"/>
                <w:szCs w:val="28"/>
              </w:rPr>
              <w:t xml:space="preserve"> the factors which affect engagement and achievement of the </w:t>
            </w:r>
            <w:r w:rsidR="00D3086C" w:rsidRPr="00AF76A3">
              <w:rPr>
                <w:sz w:val="18"/>
                <w:szCs w:val="28"/>
              </w:rPr>
              <w:t xml:space="preserve">programme </w:t>
            </w:r>
            <w:r w:rsidRPr="00AF76A3">
              <w:rPr>
                <w:sz w:val="18"/>
                <w:szCs w:val="28"/>
              </w:rPr>
              <w:t xml:space="preserve">goals. </w:t>
            </w:r>
          </w:p>
        </w:tc>
        <w:tc>
          <w:tcPr>
            <w:tcW w:w="2439" w:type="dxa"/>
          </w:tcPr>
          <w:p w14:paraId="5D3DC6B3" w14:textId="76573A06" w:rsidR="00C06BAC" w:rsidRPr="00AF76A3" w:rsidRDefault="00717161" w:rsidP="000B2E60">
            <w:pPr>
              <w:pStyle w:val="Table"/>
              <w:rPr>
                <w:sz w:val="18"/>
                <w:szCs w:val="28"/>
              </w:rPr>
            </w:pPr>
            <w:r w:rsidRPr="00AF76A3">
              <w:rPr>
                <w:sz w:val="18"/>
                <w:szCs w:val="28"/>
              </w:rPr>
              <w:t>Why is the pro</w:t>
            </w:r>
            <w:r w:rsidR="00544779" w:rsidRPr="00AF76A3">
              <w:rPr>
                <w:sz w:val="18"/>
                <w:szCs w:val="28"/>
              </w:rPr>
              <w:t>gramme</w:t>
            </w:r>
            <w:r w:rsidRPr="00AF76A3">
              <w:rPr>
                <w:sz w:val="18"/>
                <w:szCs w:val="28"/>
              </w:rPr>
              <w:t xml:space="preserve"> important</w:t>
            </w:r>
            <w:r w:rsidR="00606B63" w:rsidRPr="00AF76A3">
              <w:rPr>
                <w:sz w:val="18"/>
                <w:szCs w:val="28"/>
              </w:rPr>
              <w:t xml:space="preserve"> and how can it make a difference</w:t>
            </w:r>
            <w:r w:rsidRPr="00AF76A3">
              <w:rPr>
                <w:sz w:val="18"/>
                <w:szCs w:val="28"/>
              </w:rPr>
              <w:t>?</w:t>
            </w:r>
            <w:r w:rsidR="00544779" w:rsidRPr="00AF76A3">
              <w:rPr>
                <w:sz w:val="18"/>
                <w:szCs w:val="28"/>
              </w:rPr>
              <w:t xml:space="preserve"> </w:t>
            </w:r>
          </w:p>
        </w:tc>
      </w:tr>
      <w:tr w:rsidR="00C06BAC" w:rsidRPr="00AF76A3" w14:paraId="79AD9479" w14:textId="77777777" w:rsidTr="00544779">
        <w:tc>
          <w:tcPr>
            <w:tcW w:w="2122" w:type="dxa"/>
          </w:tcPr>
          <w:p w14:paraId="6A549FB6" w14:textId="77777777" w:rsidR="00C06BAC" w:rsidRPr="00AF76A3" w:rsidRDefault="00C06BAC" w:rsidP="000B2E60">
            <w:pPr>
              <w:pStyle w:val="Table"/>
              <w:rPr>
                <w:sz w:val="18"/>
                <w:szCs w:val="28"/>
              </w:rPr>
            </w:pPr>
            <w:r w:rsidRPr="00AF76A3">
              <w:rPr>
                <w:sz w:val="18"/>
                <w:szCs w:val="28"/>
              </w:rPr>
              <w:t>Process</w:t>
            </w:r>
          </w:p>
          <w:p w14:paraId="4B7FECD9" w14:textId="77777777" w:rsidR="00C06BAC" w:rsidRPr="00AF76A3" w:rsidRDefault="00C06BAC" w:rsidP="000B2E60">
            <w:pPr>
              <w:pStyle w:val="Table"/>
              <w:rPr>
                <w:sz w:val="18"/>
                <w:szCs w:val="28"/>
              </w:rPr>
            </w:pPr>
          </w:p>
          <w:p w14:paraId="01E639CF" w14:textId="77777777" w:rsidR="00C06BAC" w:rsidRPr="00AF76A3" w:rsidRDefault="00C06BAC" w:rsidP="00717161">
            <w:pPr>
              <w:pStyle w:val="Table"/>
              <w:rPr>
                <w:sz w:val="18"/>
                <w:szCs w:val="28"/>
              </w:rPr>
            </w:pPr>
          </w:p>
        </w:tc>
        <w:tc>
          <w:tcPr>
            <w:tcW w:w="5103" w:type="dxa"/>
          </w:tcPr>
          <w:p w14:paraId="78446D26" w14:textId="6A4B6D0D" w:rsidR="00C06BAC" w:rsidRPr="00AF76A3" w:rsidRDefault="00C06BAC" w:rsidP="000B2E60">
            <w:pPr>
              <w:pStyle w:val="Table"/>
              <w:rPr>
                <w:sz w:val="18"/>
                <w:szCs w:val="28"/>
              </w:rPr>
            </w:pPr>
            <w:r w:rsidRPr="00AF76A3">
              <w:rPr>
                <w:sz w:val="18"/>
                <w:szCs w:val="28"/>
              </w:rPr>
              <w:t xml:space="preserve">Assess the relevance of the delivery methods </w:t>
            </w:r>
            <w:r w:rsidR="00264408" w:rsidRPr="00AF76A3">
              <w:rPr>
                <w:sz w:val="18"/>
                <w:szCs w:val="28"/>
              </w:rPr>
              <w:t xml:space="preserve">chosen (curriculum, pedagogy, procedural factors) </w:t>
            </w:r>
            <w:r w:rsidR="00606B63" w:rsidRPr="00AF76A3">
              <w:rPr>
                <w:sz w:val="18"/>
                <w:szCs w:val="28"/>
              </w:rPr>
              <w:t xml:space="preserve">and the extent to which they are </w:t>
            </w:r>
            <w:r w:rsidRPr="00AF76A3">
              <w:rPr>
                <w:sz w:val="18"/>
                <w:szCs w:val="28"/>
              </w:rPr>
              <w:t xml:space="preserve">attuned to the needs and goals, and </w:t>
            </w:r>
            <w:r w:rsidR="00264408" w:rsidRPr="00AF76A3">
              <w:rPr>
                <w:sz w:val="18"/>
                <w:szCs w:val="28"/>
              </w:rPr>
              <w:t>how</w:t>
            </w:r>
            <w:r w:rsidRPr="00AF76A3">
              <w:rPr>
                <w:sz w:val="18"/>
                <w:szCs w:val="28"/>
              </w:rPr>
              <w:t xml:space="preserve"> effective</w:t>
            </w:r>
            <w:r w:rsidR="00264408" w:rsidRPr="00AF76A3">
              <w:rPr>
                <w:sz w:val="18"/>
                <w:szCs w:val="28"/>
              </w:rPr>
              <w:t xml:space="preserve">ly the methods are being </w:t>
            </w:r>
            <w:r w:rsidRPr="00AF76A3">
              <w:rPr>
                <w:sz w:val="18"/>
                <w:szCs w:val="28"/>
              </w:rPr>
              <w:t>implement</w:t>
            </w:r>
            <w:r w:rsidR="00264408" w:rsidRPr="00AF76A3">
              <w:rPr>
                <w:sz w:val="18"/>
                <w:szCs w:val="28"/>
              </w:rPr>
              <w:t>ed</w:t>
            </w:r>
            <w:r w:rsidRPr="00AF76A3">
              <w:rPr>
                <w:sz w:val="18"/>
                <w:szCs w:val="28"/>
              </w:rPr>
              <w:t xml:space="preserve">. </w:t>
            </w:r>
          </w:p>
        </w:tc>
        <w:tc>
          <w:tcPr>
            <w:tcW w:w="2439" w:type="dxa"/>
          </w:tcPr>
          <w:p w14:paraId="32791AA5" w14:textId="77777777" w:rsidR="00717161" w:rsidRPr="00AF76A3" w:rsidRDefault="00717161" w:rsidP="00717161">
            <w:pPr>
              <w:pStyle w:val="Table"/>
              <w:rPr>
                <w:sz w:val="18"/>
                <w:szCs w:val="28"/>
              </w:rPr>
            </w:pPr>
            <w:r w:rsidRPr="00AF76A3">
              <w:rPr>
                <w:sz w:val="18"/>
                <w:szCs w:val="28"/>
              </w:rPr>
              <w:t xml:space="preserve">Is the project being carried out appropriately? </w:t>
            </w:r>
          </w:p>
          <w:p w14:paraId="741C386D" w14:textId="0F9717CF" w:rsidR="00C06BAC" w:rsidRPr="00AF76A3" w:rsidRDefault="00C06BAC" w:rsidP="000B2E60">
            <w:pPr>
              <w:pStyle w:val="Table"/>
              <w:rPr>
                <w:sz w:val="18"/>
                <w:szCs w:val="28"/>
              </w:rPr>
            </w:pPr>
          </w:p>
        </w:tc>
      </w:tr>
      <w:tr w:rsidR="00C06BAC" w:rsidRPr="00AF76A3" w14:paraId="521A6546" w14:textId="77777777" w:rsidTr="00544779">
        <w:tc>
          <w:tcPr>
            <w:tcW w:w="2122" w:type="dxa"/>
          </w:tcPr>
          <w:p w14:paraId="1325CEEF" w14:textId="77777777" w:rsidR="00C06BAC" w:rsidRPr="00AF76A3" w:rsidRDefault="00C06BAC" w:rsidP="000B2E60">
            <w:pPr>
              <w:pStyle w:val="Table"/>
              <w:rPr>
                <w:sz w:val="18"/>
                <w:szCs w:val="28"/>
              </w:rPr>
            </w:pPr>
            <w:r w:rsidRPr="00AF76A3">
              <w:rPr>
                <w:sz w:val="18"/>
                <w:szCs w:val="28"/>
              </w:rPr>
              <w:t>Context</w:t>
            </w:r>
          </w:p>
          <w:p w14:paraId="2C806CBC" w14:textId="77777777" w:rsidR="00C06BAC" w:rsidRPr="00AF76A3" w:rsidRDefault="00C06BAC" w:rsidP="000B2E60">
            <w:pPr>
              <w:pStyle w:val="Table"/>
              <w:rPr>
                <w:sz w:val="18"/>
                <w:szCs w:val="28"/>
              </w:rPr>
            </w:pPr>
          </w:p>
          <w:p w14:paraId="61630D6F" w14:textId="77777777" w:rsidR="00C06BAC" w:rsidRPr="00AF76A3" w:rsidRDefault="00C06BAC" w:rsidP="00717161">
            <w:pPr>
              <w:pStyle w:val="Table"/>
              <w:rPr>
                <w:sz w:val="18"/>
                <w:szCs w:val="28"/>
              </w:rPr>
            </w:pPr>
          </w:p>
        </w:tc>
        <w:tc>
          <w:tcPr>
            <w:tcW w:w="5103" w:type="dxa"/>
          </w:tcPr>
          <w:p w14:paraId="300738FC" w14:textId="1D6820CB" w:rsidR="00C06BAC" w:rsidRPr="00AF76A3" w:rsidRDefault="00C06BAC" w:rsidP="000B2E60">
            <w:pPr>
              <w:pStyle w:val="Table"/>
              <w:rPr>
                <w:sz w:val="18"/>
                <w:szCs w:val="28"/>
              </w:rPr>
            </w:pPr>
            <w:r w:rsidRPr="00AF76A3">
              <w:rPr>
                <w:sz w:val="18"/>
                <w:szCs w:val="28"/>
              </w:rPr>
              <w:t xml:space="preserve">Assess the context in which the action is taking place, and how factors in the environment </w:t>
            </w:r>
            <w:r w:rsidR="00E53BEF" w:rsidRPr="00AF76A3">
              <w:rPr>
                <w:sz w:val="18"/>
                <w:szCs w:val="28"/>
              </w:rPr>
              <w:t xml:space="preserve">in which the programme is situated </w:t>
            </w:r>
            <w:r w:rsidRPr="00AF76A3">
              <w:rPr>
                <w:sz w:val="18"/>
                <w:szCs w:val="28"/>
              </w:rPr>
              <w:t xml:space="preserve">(organisational, social, political, economic, and so on) support or inhibit achievement of goals.    </w:t>
            </w:r>
          </w:p>
        </w:tc>
        <w:tc>
          <w:tcPr>
            <w:tcW w:w="2439" w:type="dxa"/>
          </w:tcPr>
          <w:p w14:paraId="39EF3CBF" w14:textId="01024EBF" w:rsidR="00717161" w:rsidRPr="00AF76A3" w:rsidRDefault="00717161" w:rsidP="00717161">
            <w:pPr>
              <w:pStyle w:val="Table"/>
              <w:rPr>
                <w:sz w:val="18"/>
                <w:szCs w:val="28"/>
              </w:rPr>
            </w:pPr>
            <w:r w:rsidRPr="00AF76A3">
              <w:rPr>
                <w:sz w:val="18"/>
                <w:szCs w:val="28"/>
              </w:rPr>
              <w:t>What factors are impacting the pro</w:t>
            </w:r>
            <w:r w:rsidR="00D57985" w:rsidRPr="00AF76A3">
              <w:rPr>
                <w:sz w:val="18"/>
                <w:szCs w:val="28"/>
              </w:rPr>
              <w:t>gramme</w:t>
            </w:r>
            <w:r w:rsidRPr="00AF76A3">
              <w:rPr>
                <w:sz w:val="18"/>
                <w:szCs w:val="28"/>
              </w:rPr>
              <w:t xml:space="preserve">? </w:t>
            </w:r>
          </w:p>
          <w:p w14:paraId="2021F756" w14:textId="78323A30" w:rsidR="00C06BAC" w:rsidRPr="00AF76A3" w:rsidRDefault="00C06BAC" w:rsidP="000B2E60">
            <w:pPr>
              <w:pStyle w:val="Table"/>
              <w:rPr>
                <w:sz w:val="18"/>
                <w:szCs w:val="28"/>
              </w:rPr>
            </w:pPr>
          </w:p>
        </w:tc>
      </w:tr>
      <w:tr w:rsidR="00C06BAC" w:rsidRPr="00AF76A3" w14:paraId="238A6B88" w14:textId="77777777" w:rsidTr="00544779">
        <w:tc>
          <w:tcPr>
            <w:tcW w:w="2122" w:type="dxa"/>
          </w:tcPr>
          <w:p w14:paraId="57FE591D" w14:textId="410FD5F3" w:rsidR="00C06BAC" w:rsidRPr="00AF76A3" w:rsidRDefault="00D56451" w:rsidP="000B2E60">
            <w:pPr>
              <w:pStyle w:val="Table"/>
              <w:rPr>
                <w:sz w:val="18"/>
                <w:szCs w:val="28"/>
              </w:rPr>
            </w:pPr>
            <w:r w:rsidRPr="00AF76A3">
              <w:rPr>
                <w:sz w:val="18"/>
                <w:szCs w:val="28"/>
              </w:rPr>
              <w:t>Consequences</w:t>
            </w:r>
          </w:p>
        </w:tc>
        <w:tc>
          <w:tcPr>
            <w:tcW w:w="5103" w:type="dxa"/>
          </w:tcPr>
          <w:p w14:paraId="53ADA139" w14:textId="2856A3A3" w:rsidR="00C06BAC" w:rsidRPr="00AF76A3" w:rsidRDefault="00C06BAC" w:rsidP="000B2E60">
            <w:pPr>
              <w:pStyle w:val="Table"/>
              <w:rPr>
                <w:sz w:val="18"/>
                <w:szCs w:val="28"/>
              </w:rPr>
            </w:pPr>
            <w:r w:rsidRPr="00AF76A3">
              <w:rPr>
                <w:sz w:val="18"/>
                <w:szCs w:val="28"/>
              </w:rPr>
              <w:t>Assess the outcomes and impacts (intended and un-intended), and the merits/importance</w:t>
            </w:r>
            <w:r w:rsidR="00D57985" w:rsidRPr="00AF76A3">
              <w:rPr>
                <w:sz w:val="18"/>
                <w:szCs w:val="28"/>
              </w:rPr>
              <w:t xml:space="preserve"> of these</w:t>
            </w:r>
            <w:r w:rsidRPr="00AF76A3">
              <w:rPr>
                <w:sz w:val="18"/>
                <w:szCs w:val="28"/>
              </w:rPr>
              <w:t xml:space="preserve">. </w:t>
            </w:r>
          </w:p>
        </w:tc>
        <w:tc>
          <w:tcPr>
            <w:tcW w:w="2439" w:type="dxa"/>
          </w:tcPr>
          <w:p w14:paraId="470EF2EE" w14:textId="54E2E6D0" w:rsidR="00C06BAC" w:rsidRPr="00AF76A3" w:rsidRDefault="00717161" w:rsidP="000B2E60">
            <w:pPr>
              <w:pStyle w:val="Table"/>
              <w:rPr>
                <w:sz w:val="18"/>
                <w:szCs w:val="28"/>
              </w:rPr>
            </w:pPr>
            <w:r w:rsidRPr="00AF76A3">
              <w:rPr>
                <w:sz w:val="18"/>
                <w:szCs w:val="28"/>
              </w:rPr>
              <w:t>Is the project succeeding?</w:t>
            </w:r>
          </w:p>
        </w:tc>
      </w:tr>
    </w:tbl>
    <w:p w14:paraId="1B12CAFF" w14:textId="2A4BD946" w:rsidR="003A2390" w:rsidRDefault="00DF3272" w:rsidP="003A2390">
      <w:pPr>
        <w:rPr>
          <w:rFonts w:ascii="Gill Sans MT" w:hAnsi="Gill Sans MT"/>
        </w:rPr>
      </w:pPr>
      <w:r>
        <w:rPr>
          <w:rFonts w:ascii="Gill Sans MT" w:hAnsi="Gill Sans MT"/>
        </w:rPr>
        <w:lastRenderedPageBreak/>
        <w:t>The p</w:t>
      </w:r>
      <w:r w:rsidR="00C710FA">
        <w:rPr>
          <w:rFonts w:ascii="Gill Sans MT" w:hAnsi="Gill Sans MT"/>
        </w:rPr>
        <w:t>-p-c-c</w:t>
      </w:r>
      <w:r>
        <w:rPr>
          <w:rFonts w:ascii="Gill Sans MT" w:hAnsi="Gill Sans MT"/>
        </w:rPr>
        <w:t xml:space="preserve"> dimensions of a programme </w:t>
      </w:r>
      <w:r w:rsidR="007E2F66" w:rsidRPr="00DF3272">
        <w:rPr>
          <w:rFonts w:ascii="Gill Sans MT" w:hAnsi="Gill Sans MT"/>
        </w:rPr>
        <w:t xml:space="preserve">are </w:t>
      </w:r>
      <w:r>
        <w:rPr>
          <w:rFonts w:ascii="Gill Sans MT" w:hAnsi="Gill Sans MT"/>
        </w:rPr>
        <w:t xml:space="preserve">highly </w:t>
      </w:r>
      <w:r w:rsidR="007E2F66" w:rsidRPr="00DF3272">
        <w:rPr>
          <w:rFonts w:ascii="Gill Sans MT" w:hAnsi="Gill Sans MT"/>
        </w:rPr>
        <w:t xml:space="preserve">relevant </w:t>
      </w:r>
      <w:r w:rsidR="00585B51" w:rsidRPr="00DF3272">
        <w:rPr>
          <w:rFonts w:ascii="Gill Sans MT" w:hAnsi="Gill Sans MT"/>
        </w:rPr>
        <w:t>through-out an evaluation, as shown in Table 2</w:t>
      </w:r>
      <w:r w:rsidR="0074263F">
        <w:rPr>
          <w:rFonts w:ascii="Gill Sans MT" w:hAnsi="Gill Sans MT"/>
        </w:rPr>
        <w:t>. D</w:t>
      </w:r>
      <w:r w:rsidR="00E05F5D" w:rsidRPr="00DF3272">
        <w:rPr>
          <w:rFonts w:ascii="Gill Sans MT" w:hAnsi="Gill Sans MT"/>
        </w:rPr>
        <w:t xml:space="preserve">ifferent methods can be used to take account of these aspects as part of </w:t>
      </w:r>
      <w:r>
        <w:rPr>
          <w:rFonts w:ascii="Gill Sans MT" w:hAnsi="Gill Sans MT"/>
        </w:rPr>
        <w:t>the</w:t>
      </w:r>
      <w:r w:rsidR="00E05F5D" w:rsidRPr="00DF3272">
        <w:rPr>
          <w:rFonts w:ascii="Gill Sans MT" w:hAnsi="Gill Sans MT"/>
        </w:rPr>
        <w:t xml:space="preserve"> evaluation</w:t>
      </w:r>
      <w:r>
        <w:rPr>
          <w:rFonts w:ascii="Gill Sans MT" w:hAnsi="Gill Sans MT"/>
        </w:rPr>
        <w:t xml:space="preserve"> design </w:t>
      </w:r>
      <w:r w:rsidR="0074263F">
        <w:rPr>
          <w:rFonts w:ascii="Gill Sans MT" w:hAnsi="Gill Sans MT"/>
        </w:rPr>
        <w:t>as appropriate to the situation</w:t>
      </w:r>
      <w:r w:rsidR="00E05F5D" w:rsidRPr="00DF3272">
        <w:rPr>
          <w:rFonts w:ascii="Gill Sans MT" w:hAnsi="Gill Sans MT"/>
        </w:rPr>
        <w:t xml:space="preserve">. </w:t>
      </w:r>
    </w:p>
    <w:p w14:paraId="280CD6EF" w14:textId="77777777" w:rsidR="0015362B" w:rsidRDefault="0015362B" w:rsidP="0015362B">
      <w:pPr>
        <w:rPr>
          <w:rFonts w:ascii="Gill Sans MT" w:hAnsi="Gill Sans MT"/>
        </w:rPr>
      </w:pPr>
      <w:r>
        <w:rPr>
          <w:rFonts w:ascii="Gill Sans MT" w:hAnsi="Gill Sans MT"/>
        </w:rPr>
        <w:t xml:space="preserve">A key aim of the p-p-c-c model is to ensure that the evaluation includes sufficient information to fully describe what happened. This is important for a number of reasons: </w:t>
      </w:r>
    </w:p>
    <w:p w14:paraId="0F9E441A" w14:textId="77777777" w:rsidR="0015362B" w:rsidRPr="001C56C9" w:rsidRDefault="0015362B" w:rsidP="001C5A91">
      <w:pPr>
        <w:pStyle w:val="Body"/>
        <w:numPr>
          <w:ilvl w:val="0"/>
          <w:numId w:val="37"/>
        </w:numPr>
        <w:rPr>
          <w:sz w:val="22"/>
        </w:rPr>
      </w:pPr>
      <w:r w:rsidRPr="001C56C9">
        <w:rPr>
          <w:sz w:val="22"/>
        </w:rPr>
        <w:t xml:space="preserve">Including all dimensions enables a more dynamic approach to analysing evaluation evidence and making judgements about it to improve practice, for example, to find out why results happened in the way they did and to set about matching and adapting interventions to different evolving circumstances.  </w:t>
      </w:r>
    </w:p>
    <w:p w14:paraId="45A7528A" w14:textId="77777777" w:rsidR="0015362B" w:rsidRDefault="0015362B" w:rsidP="0015362B">
      <w:pPr>
        <w:pStyle w:val="Body"/>
        <w:rPr>
          <w:sz w:val="22"/>
        </w:rPr>
      </w:pPr>
    </w:p>
    <w:p w14:paraId="3F1661B5" w14:textId="77777777" w:rsidR="0015362B" w:rsidRPr="001C56C9" w:rsidRDefault="0015362B" w:rsidP="001C5A91">
      <w:pPr>
        <w:pStyle w:val="Body"/>
        <w:numPr>
          <w:ilvl w:val="0"/>
          <w:numId w:val="37"/>
        </w:numPr>
        <w:rPr>
          <w:sz w:val="22"/>
        </w:rPr>
      </w:pPr>
      <w:r w:rsidRPr="001C56C9">
        <w:rPr>
          <w:sz w:val="22"/>
        </w:rPr>
        <w:t>A complete picture of different programme aspects is important when it comes to thinking about requirements and conditions for how a successful programme could be replicated in the future or in other higher education providers’ contexts. For example one can identify and then reproduce contextual and process features i</w:t>
      </w:r>
      <w:r>
        <w:rPr>
          <w:sz w:val="22"/>
        </w:rPr>
        <w:t xml:space="preserve">f it has been shown that will </w:t>
      </w:r>
      <w:r w:rsidRPr="001C56C9">
        <w:rPr>
          <w:sz w:val="22"/>
        </w:rPr>
        <w:t xml:space="preserve">optimise the implementation of the intervention as intended. </w:t>
      </w:r>
    </w:p>
    <w:p w14:paraId="58AF33F8" w14:textId="77777777" w:rsidR="0015362B" w:rsidRDefault="0015362B" w:rsidP="0015362B">
      <w:pPr>
        <w:pStyle w:val="Body"/>
        <w:rPr>
          <w:sz w:val="22"/>
        </w:rPr>
      </w:pPr>
    </w:p>
    <w:p w14:paraId="54699B6B" w14:textId="77777777" w:rsidR="0015362B" w:rsidRPr="001C56C9" w:rsidRDefault="0015362B" w:rsidP="001C5A91">
      <w:pPr>
        <w:pStyle w:val="Body"/>
        <w:numPr>
          <w:ilvl w:val="0"/>
          <w:numId w:val="37"/>
        </w:numPr>
        <w:rPr>
          <w:sz w:val="22"/>
        </w:rPr>
      </w:pPr>
      <w:r w:rsidRPr="001C56C9">
        <w:rPr>
          <w:sz w:val="22"/>
        </w:rPr>
        <w:t>When it comes to evaluating outcomes, the p</w:t>
      </w:r>
      <w:r>
        <w:rPr>
          <w:sz w:val="22"/>
        </w:rPr>
        <w:t>-p-c-c</w:t>
      </w:r>
      <w:r w:rsidRPr="001C56C9">
        <w:rPr>
          <w:sz w:val="22"/>
        </w:rPr>
        <w:t xml:space="preserve"> model could support analys</w:t>
      </w:r>
      <w:r>
        <w:rPr>
          <w:sz w:val="22"/>
        </w:rPr>
        <w:t>is of</w:t>
      </w:r>
      <w:r w:rsidRPr="001C56C9">
        <w:rPr>
          <w:sz w:val="22"/>
        </w:rPr>
        <w:t xml:space="preserve"> differences in trajectories and outcomes for different groups of people and the effect of different contextual influence (e.g. </w:t>
      </w:r>
      <w:r>
        <w:rPr>
          <w:sz w:val="22"/>
        </w:rPr>
        <w:t xml:space="preserve">for example through the use of multi-group models which capture the results for the same/different groups </w:t>
      </w:r>
      <w:r w:rsidRPr="001C56C9">
        <w:rPr>
          <w:sz w:val="22"/>
        </w:rPr>
        <w:t xml:space="preserve">in different contexts, or within the same context across </w:t>
      </w:r>
      <w:r>
        <w:rPr>
          <w:sz w:val="22"/>
        </w:rPr>
        <w:t xml:space="preserve">groups and </w:t>
      </w:r>
      <w:r w:rsidRPr="001C56C9">
        <w:rPr>
          <w:sz w:val="22"/>
        </w:rPr>
        <w:t xml:space="preserve">time). </w:t>
      </w:r>
    </w:p>
    <w:p w14:paraId="727C280B" w14:textId="77777777" w:rsidR="0015362B" w:rsidRDefault="0015362B" w:rsidP="0015362B">
      <w:pPr>
        <w:rPr>
          <w:rFonts w:ascii="Gill Sans MT" w:hAnsi="Gill Sans MT"/>
        </w:rPr>
      </w:pPr>
    </w:p>
    <w:p w14:paraId="20191579" w14:textId="77777777" w:rsidR="0015362B" w:rsidRPr="00FA788F" w:rsidRDefault="0015362B" w:rsidP="0015362B">
      <w:pPr>
        <w:rPr>
          <w:rFonts w:ascii="Gill Sans MT" w:hAnsi="Gill Sans MT"/>
        </w:rPr>
      </w:pPr>
      <w:r w:rsidRPr="00FA788F">
        <w:rPr>
          <w:rFonts w:ascii="Gill Sans MT" w:hAnsi="Gill Sans MT"/>
        </w:rPr>
        <w:t>EVALUATION P</w:t>
      </w:r>
      <w:r>
        <w:rPr>
          <w:rFonts w:ascii="Gill Sans MT" w:hAnsi="Gill Sans MT"/>
        </w:rPr>
        <w:t>HASES AND STEPS</w:t>
      </w:r>
    </w:p>
    <w:p w14:paraId="7D5996F3" w14:textId="35234561" w:rsidR="0015362B" w:rsidRDefault="0015362B" w:rsidP="0015362B">
      <w:pPr>
        <w:rPr>
          <w:rFonts w:ascii="Gill Sans MT" w:hAnsi="Gill Sans MT"/>
        </w:rPr>
      </w:pPr>
      <w:r>
        <w:rPr>
          <w:rFonts w:ascii="Gill Sans MT" w:hAnsi="Gill Sans MT"/>
        </w:rPr>
        <w:t xml:space="preserve">The evaluation process is designed around decision-making and negotiation with stakeholders as part of a praxis team approach. The praxis team brings </w:t>
      </w:r>
      <w:r w:rsidRPr="00E73E6F">
        <w:rPr>
          <w:rFonts w:ascii="Gill Sans MT" w:hAnsi="Gill Sans MT"/>
        </w:rPr>
        <w:t xml:space="preserve">a range of stakeholders together to plan, develop, </w:t>
      </w:r>
      <w:proofErr w:type="gramStart"/>
      <w:r w:rsidRPr="00E73E6F">
        <w:rPr>
          <w:rFonts w:ascii="Gill Sans MT" w:hAnsi="Gill Sans MT"/>
        </w:rPr>
        <w:t>deliver</w:t>
      </w:r>
      <w:proofErr w:type="gramEnd"/>
      <w:r w:rsidRPr="00E73E6F">
        <w:rPr>
          <w:rFonts w:ascii="Gill Sans MT" w:hAnsi="Gill Sans MT"/>
        </w:rPr>
        <w:t xml:space="preserve"> and learn from programmes and activities designed to overcome inequalities, combining practitioner-led action research, process, outcome and impact evaluation.</w:t>
      </w:r>
      <w:r>
        <w:rPr>
          <w:rFonts w:ascii="Gill Sans MT" w:hAnsi="Gill Sans MT"/>
        </w:rPr>
        <w:t xml:space="preserve"> The praxis team could be </w:t>
      </w:r>
      <w:r w:rsidR="00997E26">
        <w:rPr>
          <w:rFonts w:ascii="Gill Sans MT" w:hAnsi="Gill Sans MT"/>
        </w:rPr>
        <w:t xml:space="preserve">identified </w:t>
      </w:r>
      <w:r>
        <w:rPr>
          <w:rFonts w:ascii="Gill Sans MT" w:hAnsi="Gill Sans MT"/>
        </w:rPr>
        <w:t>through a programme steering group, or existing committee</w:t>
      </w:r>
      <w:r w:rsidR="00997E26">
        <w:rPr>
          <w:rFonts w:ascii="Gill Sans MT" w:hAnsi="Gill Sans MT"/>
        </w:rPr>
        <w:t xml:space="preserve">. </w:t>
      </w:r>
      <w:r>
        <w:rPr>
          <w:rFonts w:ascii="Gill Sans MT" w:hAnsi="Gill Sans MT"/>
        </w:rPr>
        <w:t xml:space="preserve">Access, participation and success practitioners and evaluators will be part of the praxis team and others with a stake in the programme and affected by it (could include target participants). </w:t>
      </w:r>
    </w:p>
    <w:p w14:paraId="7100D9DE" w14:textId="574F1DF9" w:rsidR="0015362B" w:rsidRDefault="0015362B" w:rsidP="0015362B">
      <w:pPr>
        <w:rPr>
          <w:rFonts w:ascii="Gill Sans MT" w:hAnsi="Gill Sans MT"/>
        </w:rPr>
      </w:pPr>
      <w:r w:rsidRPr="00D31BC7">
        <w:rPr>
          <w:rFonts w:ascii="Gill Sans MT" w:hAnsi="Gill Sans MT"/>
        </w:rPr>
        <w:t xml:space="preserve">A summary of the </w:t>
      </w:r>
      <w:r w:rsidRPr="005920D6">
        <w:rPr>
          <w:rFonts w:ascii="Gill Sans MT" w:hAnsi="Gill Sans MT"/>
        </w:rPr>
        <w:t>NERUPI approach</w:t>
      </w:r>
      <w:r w:rsidRPr="00D31BC7">
        <w:rPr>
          <w:rFonts w:ascii="Gill Sans MT" w:hAnsi="Gill Sans MT"/>
        </w:rPr>
        <w:t xml:space="preserve"> to evaluation </w:t>
      </w:r>
      <w:r>
        <w:rPr>
          <w:rFonts w:ascii="Gill Sans MT" w:hAnsi="Gill Sans MT"/>
        </w:rPr>
        <w:t xml:space="preserve">in terms of the </w:t>
      </w:r>
      <w:r w:rsidRPr="00D31BC7">
        <w:rPr>
          <w:rFonts w:ascii="Gill Sans MT" w:hAnsi="Gill Sans MT"/>
        </w:rPr>
        <w:t>steps involved</w:t>
      </w:r>
      <w:r>
        <w:rPr>
          <w:rFonts w:ascii="Gill Sans MT" w:hAnsi="Gill Sans MT"/>
        </w:rPr>
        <w:t>, and the rationale for each stage,</w:t>
      </w:r>
      <w:r w:rsidRPr="00D31BC7">
        <w:rPr>
          <w:rFonts w:ascii="Gill Sans MT" w:hAnsi="Gill Sans MT"/>
        </w:rPr>
        <w:t xml:space="preserve"> </w:t>
      </w:r>
      <w:r>
        <w:rPr>
          <w:rFonts w:ascii="Gill Sans MT" w:hAnsi="Gill Sans MT"/>
        </w:rPr>
        <w:t>is given in Table 3</w:t>
      </w:r>
      <w:r w:rsidRPr="00D31BC7">
        <w:rPr>
          <w:rFonts w:ascii="Gill Sans MT" w:hAnsi="Gill Sans MT"/>
        </w:rPr>
        <w:t>.</w:t>
      </w:r>
      <w:r>
        <w:rPr>
          <w:rFonts w:ascii="Gill Sans MT" w:hAnsi="Gill Sans MT"/>
        </w:rPr>
        <w:t xml:space="preserve"> Some of the challenges for evaluation which might arise at different times are anticipated in Table 3. The NERUPI Toolkit includes a range of materials to support colleagues to address different evaluation challenges</w:t>
      </w:r>
      <w:r w:rsidR="009E0815">
        <w:rPr>
          <w:rFonts w:ascii="Gill Sans MT" w:hAnsi="Gill Sans MT"/>
        </w:rPr>
        <w:t xml:space="preserve"> (see </w:t>
      </w:r>
      <w:hyperlink r:id="rId11" w:history="1">
        <w:r w:rsidR="009E0815" w:rsidRPr="009E0815">
          <w:rPr>
            <w:rStyle w:val="Hyperlink"/>
            <w:rFonts w:ascii="Gill Sans MT" w:hAnsi="Gill Sans MT"/>
          </w:rPr>
          <w:t>www/nerupi.co.uk</w:t>
        </w:r>
      </w:hyperlink>
      <w:r w:rsidR="009E0815">
        <w:rPr>
          <w:rFonts w:ascii="Gill Sans MT" w:hAnsi="Gill Sans MT"/>
        </w:rPr>
        <w:t xml:space="preserve"> and links below)</w:t>
      </w:r>
      <w:r>
        <w:rPr>
          <w:rFonts w:ascii="Gill Sans MT" w:hAnsi="Gill Sans MT"/>
        </w:rPr>
        <w:t xml:space="preserve">. </w:t>
      </w:r>
    </w:p>
    <w:p w14:paraId="48B30193" w14:textId="77777777" w:rsidR="0015362B" w:rsidRDefault="0015362B" w:rsidP="0015362B">
      <w:pPr>
        <w:rPr>
          <w:rFonts w:ascii="Cambria" w:hAnsi="Cambria"/>
          <w:color w:val="212121"/>
          <w:sz w:val="30"/>
          <w:szCs w:val="30"/>
          <w:shd w:val="clear" w:color="auto" w:fill="FFFFFF"/>
        </w:rPr>
      </w:pPr>
    </w:p>
    <w:p w14:paraId="197B3E2C" w14:textId="77777777" w:rsidR="0015362B" w:rsidRPr="00DF3272" w:rsidRDefault="0015362B" w:rsidP="003A2390">
      <w:pPr>
        <w:rPr>
          <w:rFonts w:ascii="Gill Sans MT" w:hAnsi="Gill Sans MT"/>
        </w:rPr>
      </w:pPr>
    </w:p>
    <w:p w14:paraId="1ACB8F6B" w14:textId="77777777" w:rsidR="00DF3272" w:rsidRDefault="00DF3272" w:rsidP="003A2390">
      <w:pPr>
        <w:rPr>
          <w:rFonts w:ascii="Gill Sans MT" w:hAnsi="Gill Sans MT"/>
          <w:color w:val="212121"/>
          <w:shd w:val="clear" w:color="auto" w:fill="FFFFFF"/>
        </w:rPr>
        <w:sectPr w:rsidR="00DF3272" w:rsidSect="000C129F">
          <w:headerReference w:type="default" r:id="rId12"/>
          <w:footerReference w:type="default" r:id="rId13"/>
          <w:pgSz w:w="11906" w:h="16838"/>
          <w:pgMar w:top="1560" w:right="1080" w:bottom="1440" w:left="1080" w:header="708" w:footer="708" w:gutter="0"/>
          <w:cols w:space="708"/>
          <w:docGrid w:linePitch="360"/>
        </w:sectPr>
      </w:pPr>
    </w:p>
    <w:p w14:paraId="519ECFAE" w14:textId="77777777" w:rsidR="00E5708F" w:rsidRDefault="00E5708F" w:rsidP="003A2390">
      <w:pPr>
        <w:rPr>
          <w:rFonts w:ascii="Gill Sans MT" w:hAnsi="Gill Sans MT"/>
          <w:color w:val="212121"/>
          <w:shd w:val="clear" w:color="auto" w:fill="FFFFFF"/>
        </w:rPr>
      </w:pPr>
    </w:p>
    <w:p w14:paraId="35B9B2F6" w14:textId="32B7F8BC" w:rsidR="003A2390" w:rsidRPr="00DF3272" w:rsidRDefault="00DF3272" w:rsidP="007530DF">
      <w:pPr>
        <w:spacing w:after="0"/>
        <w:rPr>
          <w:rFonts w:ascii="Gill Sans MT" w:hAnsi="Gill Sans MT"/>
          <w:color w:val="212121"/>
          <w:shd w:val="clear" w:color="auto" w:fill="FFFFFF"/>
        </w:rPr>
      </w:pPr>
      <w:r w:rsidRPr="00DF3272">
        <w:rPr>
          <w:rFonts w:ascii="Gill Sans MT" w:hAnsi="Gill Sans MT"/>
          <w:color w:val="212121"/>
          <w:shd w:val="clear" w:color="auto" w:fill="FFFFFF"/>
        </w:rPr>
        <w:t>Table 2: People-process-context-</w:t>
      </w:r>
      <w:r w:rsidR="006617CD">
        <w:rPr>
          <w:rFonts w:ascii="Gill Sans MT" w:hAnsi="Gill Sans MT"/>
          <w:color w:val="212121"/>
          <w:shd w:val="clear" w:color="auto" w:fill="FFFFFF"/>
        </w:rPr>
        <w:t>consequences</w:t>
      </w:r>
      <w:r w:rsidRPr="00DF3272">
        <w:rPr>
          <w:rFonts w:ascii="Gill Sans MT" w:hAnsi="Gill Sans MT"/>
          <w:color w:val="212121"/>
          <w:shd w:val="clear" w:color="auto" w:fill="FFFFFF"/>
        </w:rPr>
        <w:t xml:space="preserve"> </w:t>
      </w:r>
      <w:r w:rsidR="00E5708F">
        <w:rPr>
          <w:rFonts w:ascii="Gill Sans MT" w:hAnsi="Gill Sans MT"/>
          <w:color w:val="212121"/>
          <w:shd w:val="clear" w:color="auto" w:fill="FFFFFF"/>
        </w:rPr>
        <w:t>(p-p-c-</w:t>
      </w:r>
      <w:r w:rsidR="00DD12A2">
        <w:rPr>
          <w:rFonts w:ascii="Gill Sans MT" w:hAnsi="Gill Sans MT"/>
          <w:color w:val="212121"/>
          <w:shd w:val="clear" w:color="auto" w:fill="FFFFFF"/>
        </w:rPr>
        <w:t>c</w:t>
      </w:r>
      <w:r w:rsidR="00E5708F">
        <w:rPr>
          <w:rFonts w:ascii="Gill Sans MT" w:hAnsi="Gill Sans MT"/>
          <w:color w:val="212121"/>
          <w:shd w:val="clear" w:color="auto" w:fill="FFFFFF"/>
        </w:rPr>
        <w:t xml:space="preserve">) </w:t>
      </w:r>
      <w:r w:rsidRPr="00DF3272">
        <w:rPr>
          <w:rFonts w:ascii="Gill Sans MT" w:hAnsi="Gill Sans MT"/>
          <w:color w:val="212121"/>
          <w:shd w:val="clear" w:color="auto" w:fill="FFFFFF"/>
        </w:rPr>
        <w:t xml:space="preserve">aspects at different phases of </w:t>
      </w:r>
      <w:r w:rsidR="003A2390" w:rsidRPr="00DF3272">
        <w:rPr>
          <w:rFonts w:ascii="Gill Sans MT" w:hAnsi="Gill Sans MT"/>
          <w:color w:val="212121"/>
          <w:shd w:val="clear" w:color="auto" w:fill="FFFFFF"/>
        </w:rPr>
        <w:t>evaluation</w:t>
      </w:r>
    </w:p>
    <w:tbl>
      <w:tblPr>
        <w:tblStyle w:val="TableGrid"/>
        <w:tblpPr w:leftFromText="180" w:rightFromText="180" w:horzAnchor="margin" w:tblpY="995"/>
        <w:tblW w:w="14401" w:type="dxa"/>
        <w:tblLayout w:type="fixed"/>
        <w:tblLook w:val="04A0" w:firstRow="1" w:lastRow="0" w:firstColumn="1" w:lastColumn="0" w:noHBand="0" w:noVBand="1"/>
      </w:tblPr>
      <w:tblGrid>
        <w:gridCol w:w="1477"/>
        <w:gridCol w:w="2494"/>
        <w:gridCol w:w="2494"/>
        <w:gridCol w:w="2494"/>
        <w:gridCol w:w="2494"/>
        <w:gridCol w:w="2948"/>
      </w:tblGrid>
      <w:tr w:rsidR="003A2390" w:rsidRPr="005D1707" w14:paraId="5B593A86" w14:textId="77777777" w:rsidTr="004C5710">
        <w:tc>
          <w:tcPr>
            <w:tcW w:w="1477" w:type="dxa"/>
          </w:tcPr>
          <w:p w14:paraId="30134BC7" w14:textId="77777777" w:rsidR="003A2390" w:rsidRPr="005D1707" w:rsidRDefault="003A2390" w:rsidP="004C5710">
            <w:pPr>
              <w:pStyle w:val="Table"/>
              <w:spacing w:after="0"/>
              <w:rPr>
                <w:szCs w:val="20"/>
                <w:shd w:val="clear" w:color="auto" w:fill="auto"/>
                <w:lang w:eastAsia="en-GB"/>
              </w:rPr>
            </w:pPr>
          </w:p>
        </w:tc>
        <w:tc>
          <w:tcPr>
            <w:tcW w:w="2494" w:type="dxa"/>
          </w:tcPr>
          <w:p w14:paraId="6F4EE4E9" w14:textId="4DF2B3CD" w:rsidR="003A2390" w:rsidRPr="005D1707" w:rsidRDefault="003A2390" w:rsidP="004C5710">
            <w:pPr>
              <w:pStyle w:val="Table"/>
              <w:spacing w:after="0"/>
              <w:rPr>
                <w:szCs w:val="20"/>
                <w:shd w:val="clear" w:color="auto" w:fill="auto"/>
                <w:lang w:eastAsia="en-GB"/>
              </w:rPr>
            </w:pPr>
            <w:r w:rsidRPr="005D1707">
              <w:rPr>
                <w:szCs w:val="20"/>
                <w:lang w:eastAsia="en-GB"/>
              </w:rPr>
              <w:t>Groundwork phase</w:t>
            </w:r>
          </w:p>
        </w:tc>
        <w:tc>
          <w:tcPr>
            <w:tcW w:w="2494" w:type="dxa"/>
          </w:tcPr>
          <w:p w14:paraId="40B0B3C2" w14:textId="72E8A17A" w:rsidR="003A2390" w:rsidRPr="005D1707" w:rsidRDefault="003A2390" w:rsidP="004C5710">
            <w:pPr>
              <w:pStyle w:val="Table"/>
              <w:spacing w:after="0"/>
              <w:rPr>
                <w:szCs w:val="20"/>
                <w:shd w:val="clear" w:color="auto" w:fill="auto"/>
                <w:lang w:eastAsia="en-GB"/>
              </w:rPr>
            </w:pPr>
            <w:r w:rsidRPr="005D1707">
              <w:rPr>
                <w:szCs w:val="20"/>
                <w:shd w:val="clear" w:color="auto" w:fill="auto"/>
                <w:lang w:eastAsia="en-GB"/>
              </w:rPr>
              <w:t>Design phase</w:t>
            </w:r>
          </w:p>
        </w:tc>
        <w:tc>
          <w:tcPr>
            <w:tcW w:w="2494" w:type="dxa"/>
          </w:tcPr>
          <w:p w14:paraId="55ECEFB8" w14:textId="6187B5A3" w:rsidR="003A2390" w:rsidRPr="005D1707" w:rsidRDefault="003A2390" w:rsidP="004C5710">
            <w:pPr>
              <w:pStyle w:val="Table"/>
              <w:spacing w:after="0"/>
              <w:rPr>
                <w:szCs w:val="20"/>
                <w:shd w:val="clear" w:color="auto" w:fill="auto"/>
                <w:lang w:eastAsia="en-GB"/>
              </w:rPr>
            </w:pPr>
            <w:r w:rsidRPr="005D1707">
              <w:rPr>
                <w:szCs w:val="20"/>
                <w:shd w:val="clear" w:color="auto" w:fill="auto"/>
                <w:lang w:eastAsia="en-GB"/>
              </w:rPr>
              <w:t>Implementation phase</w:t>
            </w:r>
          </w:p>
        </w:tc>
        <w:tc>
          <w:tcPr>
            <w:tcW w:w="2494" w:type="dxa"/>
          </w:tcPr>
          <w:p w14:paraId="7DB5424D" w14:textId="2E5012D8" w:rsidR="003A2390" w:rsidRPr="005D1707" w:rsidRDefault="003A2390" w:rsidP="004C5710">
            <w:pPr>
              <w:pStyle w:val="Table"/>
              <w:spacing w:after="0"/>
              <w:rPr>
                <w:szCs w:val="20"/>
                <w:shd w:val="clear" w:color="auto" w:fill="auto"/>
                <w:lang w:eastAsia="en-GB"/>
              </w:rPr>
            </w:pPr>
            <w:r w:rsidRPr="005D1707">
              <w:rPr>
                <w:szCs w:val="20"/>
                <w:shd w:val="clear" w:color="auto" w:fill="auto"/>
                <w:lang w:eastAsia="en-GB"/>
              </w:rPr>
              <w:t>Use phase</w:t>
            </w:r>
          </w:p>
        </w:tc>
        <w:tc>
          <w:tcPr>
            <w:tcW w:w="2948" w:type="dxa"/>
          </w:tcPr>
          <w:p w14:paraId="2DBD89B9" w14:textId="77777777" w:rsidR="003A2390" w:rsidRPr="005D1707" w:rsidRDefault="003A2390" w:rsidP="004C5710">
            <w:pPr>
              <w:pStyle w:val="Table"/>
              <w:spacing w:after="0"/>
              <w:rPr>
                <w:szCs w:val="20"/>
                <w:shd w:val="clear" w:color="auto" w:fill="auto"/>
                <w:lang w:eastAsia="en-GB"/>
              </w:rPr>
            </w:pPr>
            <w:r w:rsidRPr="005D1707">
              <w:rPr>
                <w:szCs w:val="20"/>
                <w:lang w:eastAsia="en-GB"/>
              </w:rPr>
              <w:t>Examples of methods</w:t>
            </w:r>
          </w:p>
        </w:tc>
      </w:tr>
      <w:tr w:rsidR="003A2390" w:rsidRPr="005D1707" w14:paraId="2C540EE4" w14:textId="77777777" w:rsidTr="004C5710">
        <w:tc>
          <w:tcPr>
            <w:tcW w:w="1477" w:type="dxa"/>
          </w:tcPr>
          <w:p w14:paraId="48FD89D9" w14:textId="583CDC7C" w:rsidR="00F04EA1" w:rsidRDefault="003A2390" w:rsidP="004C5710">
            <w:pPr>
              <w:pStyle w:val="Table"/>
              <w:spacing w:after="0"/>
              <w:rPr>
                <w:szCs w:val="20"/>
                <w:shd w:val="clear" w:color="auto" w:fill="auto"/>
                <w:lang w:eastAsia="en-GB"/>
              </w:rPr>
            </w:pPr>
            <w:r w:rsidRPr="005D1707">
              <w:rPr>
                <w:szCs w:val="20"/>
                <w:shd w:val="clear" w:color="auto" w:fill="auto"/>
                <w:lang w:eastAsia="en-GB"/>
              </w:rPr>
              <w:t>People</w:t>
            </w:r>
          </w:p>
          <w:p w14:paraId="092708FD" w14:textId="5719AE64" w:rsidR="00F04EA1" w:rsidRPr="005D1707" w:rsidRDefault="00C86425" w:rsidP="004C5710">
            <w:pPr>
              <w:pStyle w:val="Table"/>
              <w:spacing w:after="0"/>
              <w:rPr>
                <w:szCs w:val="20"/>
                <w:shd w:val="clear" w:color="auto" w:fill="auto"/>
                <w:lang w:eastAsia="en-GB"/>
              </w:rPr>
            </w:pPr>
            <w:hyperlink r:id="rId14" w:history="1">
              <w:r w:rsidR="00F04EA1" w:rsidRPr="00C86425">
                <w:rPr>
                  <w:rStyle w:val="Hyperlink"/>
                  <w:szCs w:val="20"/>
                  <w:shd w:val="clear" w:color="auto" w:fill="auto"/>
                  <w:lang w:eastAsia="en-GB"/>
                </w:rPr>
                <w:t>https://www.nerupi.co.uk/members/toolkit/context/exploring-inequalities-2</w:t>
              </w:r>
            </w:hyperlink>
          </w:p>
        </w:tc>
        <w:tc>
          <w:tcPr>
            <w:tcW w:w="2494" w:type="dxa"/>
          </w:tcPr>
          <w:p w14:paraId="7A25E3F1" w14:textId="183055C3" w:rsidR="003A2390" w:rsidRPr="00043707" w:rsidRDefault="003A2390" w:rsidP="004C5710">
            <w:pPr>
              <w:pStyle w:val="Table"/>
              <w:spacing w:after="0"/>
              <w:rPr>
                <w:szCs w:val="20"/>
                <w:lang w:eastAsia="en-GB"/>
              </w:rPr>
            </w:pPr>
            <w:r w:rsidRPr="005D1707">
              <w:rPr>
                <w:szCs w:val="20"/>
                <w:lang w:eastAsia="en-GB"/>
              </w:rPr>
              <w:t>Identify participants’ needs and circumstances consider the extent to which the programme and the activities engage and target participants.</w:t>
            </w:r>
          </w:p>
        </w:tc>
        <w:tc>
          <w:tcPr>
            <w:tcW w:w="2494" w:type="dxa"/>
          </w:tcPr>
          <w:p w14:paraId="1AA68D1D" w14:textId="77777777" w:rsidR="003A2390" w:rsidRPr="005D1707" w:rsidRDefault="003A2390" w:rsidP="004C5710">
            <w:pPr>
              <w:pStyle w:val="Table"/>
              <w:spacing w:after="0"/>
              <w:rPr>
                <w:szCs w:val="20"/>
                <w:shd w:val="clear" w:color="auto" w:fill="auto"/>
                <w:lang w:eastAsia="en-GB"/>
              </w:rPr>
            </w:pPr>
            <w:r w:rsidRPr="005D1707">
              <w:rPr>
                <w:szCs w:val="20"/>
                <w:lang w:eastAsia="en-GB"/>
              </w:rPr>
              <w:t>Take account of people factors and u</w:t>
            </w:r>
            <w:r w:rsidRPr="005D1707">
              <w:rPr>
                <w:szCs w:val="20"/>
                <w:shd w:val="clear" w:color="auto" w:fill="auto"/>
                <w:lang w:eastAsia="en-GB"/>
              </w:rPr>
              <w:t xml:space="preserve">nderstand what’s important to </w:t>
            </w:r>
            <w:r w:rsidRPr="005D1707">
              <w:rPr>
                <w:szCs w:val="20"/>
                <w:lang w:eastAsia="en-GB"/>
              </w:rPr>
              <w:t xml:space="preserve">the </w:t>
            </w:r>
            <w:r w:rsidRPr="005D1707">
              <w:rPr>
                <w:szCs w:val="20"/>
                <w:shd w:val="clear" w:color="auto" w:fill="auto"/>
                <w:lang w:eastAsia="en-GB"/>
              </w:rPr>
              <w:t xml:space="preserve">participants </w:t>
            </w:r>
          </w:p>
        </w:tc>
        <w:tc>
          <w:tcPr>
            <w:tcW w:w="2494" w:type="dxa"/>
          </w:tcPr>
          <w:p w14:paraId="0F65846F" w14:textId="3A11D6F1" w:rsidR="003A2390" w:rsidRPr="005D1707" w:rsidRDefault="003A2390" w:rsidP="004C5710">
            <w:pPr>
              <w:pStyle w:val="Table"/>
              <w:spacing w:after="0"/>
              <w:rPr>
                <w:szCs w:val="20"/>
                <w:shd w:val="clear" w:color="auto" w:fill="auto"/>
                <w:lang w:eastAsia="en-GB"/>
              </w:rPr>
            </w:pPr>
            <w:r w:rsidRPr="005D1707">
              <w:rPr>
                <w:szCs w:val="20"/>
                <w:lang w:eastAsia="en-GB"/>
              </w:rPr>
              <w:t>C</w:t>
            </w:r>
            <w:r w:rsidRPr="005D1707">
              <w:rPr>
                <w:szCs w:val="20"/>
                <w:shd w:val="clear" w:color="auto" w:fill="auto"/>
                <w:lang w:eastAsia="en-GB"/>
              </w:rPr>
              <w:t>apture evidence</w:t>
            </w:r>
            <w:r w:rsidRPr="005D1707">
              <w:rPr>
                <w:szCs w:val="20"/>
                <w:lang w:eastAsia="en-GB"/>
              </w:rPr>
              <w:t xml:space="preserve"> that provides participants with a strong voice in evaluating experiences</w:t>
            </w:r>
            <w:r w:rsidR="00FB6B60">
              <w:rPr>
                <w:szCs w:val="20"/>
                <w:shd w:val="clear" w:color="auto" w:fill="auto"/>
                <w:lang w:eastAsia="en-GB"/>
              </w:rPr>
              <w:t xml:space="preserve">. </w:t>
            </w:r>
            <w:r w:rsidR="00536574" w:rsidRPr="00536574">
              <w:rPr>
                <w:szCs w:val="20"/>
                <w:shd w:val="clear" w:color="auto" w:fill="auto"/>
                <w:lang w:eastAsia="en-GB"/>
              </w:rPr>
              <w:t xml:space="preserve">Capture </w:t>
            </w:r>
            <w:r w:rsidR="00536574">
              <w:rPr>
                <w:szCs w:val="20"/>
                <w:shd w:val="clear" w:color="auto" w:fill="auto"/>
                <w:lang w:eastAsia="en-GB"/>
              </w:rPr>
              <w:t xml:space="preserve">(or control for) </w:t>
            </w:r>
            <w:r w:rsidR="00536574" w:rsidRPr="00536574">
              <w:rPr>
                <w:szCs w:val="20"/>
                <w:shd w:val="clear" w:color="auto" w:fill="auto"/>
                <w:lang w:eastAsia="en-GB"/>
              </w:rPr>
              <w:t xml:space="preserve">the effect of </w:t>
            </w:r>
            <w:r w:rsidR="00536574">
              <w:rPr>
                <w:szCs w:val="20"/>
                <w:shd w:val="clear" w:color="auto" w:fill="auto"/>
                <w:lang w:eastAsia="en-GB"/>
              </w:rPr>
              <w:t>personal factors and circumstances</w:t>
            </w:r>
            <w:r w:rsidR="00536574" w:rsidRPr="00536574">
              <w:rPr>
                <w:szCs w:val="20"/>
                <w:shd w:val="clear" w:color="auto" w:fill="auto"/>
                <w:lang w:eastAsia="en-GB"/>
              </w:rPr>
              <w:t xml:space="preserve"> on engagement, </w:t>
            </w:r>
            <w:proofErr w:type="gramStart"/>
            <w:r w:rsidR="00536574" w:rsidRPr="00536574">
              <w:rPr>
                <w:szCs w:val="20"/>
                <w:shd w:val="clear" w:color="auto" w:fill="auto"/>
                <w:lang w:eastAsia="en-GB"/>
              </w:rPr>
              <w:t>participation</w:t>
            </w:r>
            <w:proofErr w:type="gramEnd"/>
            <w:r w:rsidR="00536574" w:rsidRPr="00536574">
              <w:rPr>
                <w:szCs w:val="20"/>
                <w:shd w:val="clear" w:color="auto" w:fill="auto"/>
                <w:lang w:eastAsia="en-GB"/>
              </w:rPr>
              <w:t xml:space="preserve"> and results</w:t>
            </w:r>
          </w:p>
        </w:tc>
        <w:tc>
          <w:tcPr>
            <w:tcW w:w="2494" w:type="dxa"/>
          </w:tcPr>
          <w:p w14:paraId="44966095" w14:textId="72A49EAD" w:rsidR="003A2390" w:rsidRPr="005D1707" w:rsidRDefault="003A2390" w:rsidP="004C5710">
            <w:pPr>
              <w:pStyle w:val="Table"/>
              <w:spacing w:after="0"/>
              <w:rPr>
                <w:szCs w:val="20"/>
                <w:shd w:val="clear" w:color="auto" w:fill="auto"/>
                <w:lang w:eastAsia="en-GB"/>
              </w:rPr>
            </w:pPr>
            <w:r w:rsidRPr="005D1707">
              <w:rPr>
                <w:szCs w:val="20"/>
                <w:shd w:val="clear" w:color="auto" w:fill="auto"/>
                <w:lang w:eastAsia="en-GB"/>
              </w:rPr>
              <w:t>Formatively and summatively assess whether the programme met</w:t>
            </w:r>
            <w:r w:rsidR="00DE5638">
              <w:rPr>
                <w:szCs w:val="20"/>
                <w:shd w:val="clear" w:color="auto" w:fill="auto"/>
                <w:lang w:eastAsia="en-GB"/>
              </w:rPr>
              <w:t xml:space="preserve"> the target and</w:t>
            </w:r>
            <w:r w:rsidRPr="005D1707">
              <w:rPr>
                <w:szCs w:val="20"/>
                <w:shd w:val="clear" w:color="auto" w:fill="auto"/>
                <w:lang w:eastAsia="en-GB"/>
              </w:rPr>
              <w:t xml:space="preserve"> the needs</w:t>
            </w:r>
          </w:p>
        </w:tc>
        <w:tc>
          <w:tcPr>
            <w:tcW w:w="2948" w:type="dxa"/>
          </w:tcPr>
          <w:p w14:paraId="5803FED5" w14:textId="77777777" w:rsidR="003A2390" w:rsidRPr="005D1707" w:rsidRDefault="003A2390" w:rsidP="004C5710">
            <w:pPr>
              <w:pStyle w:val="Table"/>
              <w:spacing w:after="0"/>
              <w:rPr>
                <w:szCs w:val="20"/>
              </w:rPr>
            </w:pPr>
            <w:r w:rsidRPr="005D1707">
              <w:rPr>
                <w:szCs w:val="20"/>
              </w:rPr>
              <w:t>Data analysis, literature reviews, surveys, interviews, feedback</w:t>
            </w:r>
          </w:p>
        </w:tc>
      </w:tr>
      <w:tr w:rsidR="003A2390" w:rsidRPr="005D1707" w14:paraId="5E4B7A3B" w14:textId="77777777" w:rsidTr="004C5710">
        <w:tc>
          <w:tcPr>
            <w:tcW w:w="1477" w:type="dxa"/>
          </w:tcPr>
          <w:p w14:paraId="352DE6F4" w14:textId="77777777" w:rsidR="003A2390" w:rsidRDefault="003A2390" w:rsidP="004C5710">
            <w:pPr>
              <w:pStyle w:val="Table"/>
              <w:spacing w:after="0"/>
              <w:rPr>
                <w:szCs w:val="20"/>
                <w:shd w:val="clear" w:color="auto" w:fill="auto"/>
                <w:lang w:eastAsia="en-GB"/>
              </w:rPr>
            </w:pPr>
            <w:r w:rsidRPr="005D1707">
              <w:rPr>
                <w:szCs w:val="20"/>
                <w:shd w:val="clear" w:color="auto" w:fill="auto"/>
                <w:lang w:eastAsia="en-GB"/>
              </w:rPr>
              <w:t>Process</w:t>
            </w:r>
          </w:p>
          <w:p w14:paraId="2FCC0EAE" w14:textId="09FDC992" w:rsidR="00F04EA1" w:rsidRPr="005D1707" w:rsidRDefault="00C86425" w:rsidP="004C5710">
            <w:pPr>
              <w:pStyle w:val="Table"/>
              <w:spacing w:after="0"/>
              <w:rPr>
                <w:szCs w:val="20"/>
                <w:shd w:val="clear" w:color="auto" w:fill="auto"/>
                <w:lang w:eastAsia="en-GB"/>
              </w:rPr>
            </w:pPr>
            <w:hyperlink r:id="rId15" w:history="1">
              <w:r w:rsidR="00F04EA1" w:rsidRPr="00C86425">
                <w:rPr>
                  <w:rStyle w:val="Hyperlink"/>
                  <w:szCs w:val="20"/>
                  <w:shd w:val="clear" w:color="auto" w:fill="auto"/>
                  <w:lang w:eastAsia="en-GB"/>
                </w:rPr>
                <w:t>https://www.nerupi.co.uk/members/toolkit/planning</w:t>
              </w:r>
            </w:hyperlink>
          </w:p>
        </w:tc>
        <w:tc>
          <w:tcPr>
            <w:tcW w:w="2494" w:type="dxa"/>
          </w:tcPr>
          <w:p w14:paraId="425BF87C" w14:textId="77777777" w:rsidR="003A2390" w:rsidRPr="005D1707" w:rsidRDefault="003A2390" w:rsidP="004C5710">
            <w:pPr>
              <w:pStyle w:val="Table"/>
              <w:spacing w:after="0"/>
              <w:rPr>
                <w:szCs w:val="20"/>
                <w:shd w:val="clear" w:color="auto" w:fill="auto"/>
                <w:lang w:eastAsia="en-GB"/>
              </w:rPr>
            </w:pPr>
            <w:r w:rsidRPr="005D1707">
              <w:rPr>
                <w:color w:val="000000"/>
                <w:szCs w:val="20"/>
                <w:lang w:eastAsia="en-GB"/>
              </w:rPr>
              <w:t>Assess project strategies (curriculum, pedagogy) and procedural strategies designed to meet goals and objectives</w:t>
            </w:r>
            <w:r w:rsidRPr="005D1707">
              <w:rPr>
                <w:rStyle w:val="FootnoteReference"/>
                <w:rFonts w:eastAsia="Times New Roman" w:cs="Arial"/>
                <w:color w:val="000000"/>
                <w:szCs w:val="20"/>
                <w:lang w:eastAsia="en-GB"/>
              </w:rPr>
              <w:footnoteReference w:id="1"/>
            </w:r>
          </w:p>
        </w:tc>
        <w:tc>
          <w:tcPr>
            <w:tcW w:w="2494" w:type="dxa"/>
          </w:tcPr>
          <w:p w14:paraId="5D588DA1" w14:textId="77777777" w:rsidR="003A2390" w:rsidRPr="005D1707" w:rsidRDefault="003A2390" w:rsidP="004C5710">
            <w:pPr>
              <w:pStyle w:val="Table"/>
              <w:spacing w:after="0"/>
              <w:rPr>
                <w:color w:val="000000"/>
                <w:szCs w:val="20"/>
                <w:shd w:val="clear" w:color="auto" w:fill="auto"/>
                <w:lang w:eastAsia="en-GB"/>
              </w:rPr>
            </w:pPr>
            <w:r w:rsidRPr="005D1707">
              <w:rPr>
                <w:color w:val="000000"/>
                <w:szCs w:val="20"/>
                <w:lang w:eastAsia="en-GB"/>
              </w:rPr>
              <w:t>Identify what and how effectiveness of delivery of activities should be monitored and assessed</w:t>
            </w:r>
          </w:p>
        </w:tc>
        <w:tc>
          <w:tcPr>
            <w:tcW w:w="2494" w:type="dxa"/>
          </w:tcPr>
          <w:p w14:paraId="293E3880" w14:textId="52146FF5" w:rsidR="003A2390" w:rsidRPr="005D1707" w:rsidRDefault="003A2390" w:rsidP="004C5710">
            <w:pPr>
              <w:pStyle w:val="Table"/>
              <w:spacing w:after="0"/>
              <w:rPr>
                <w:color w:val="000000"/>
                <w:szCs w:val="20"/>
                <w:shd w:val="clear" w:color="auto" w:fill="auto"/>
                <w:lang w:eastAsia="en-GB"/>
              </w:rPr>
            </w:pPr>
            <w:r w:rsidRPr="005D1707">
              <w:rPr>
                <w:color w:val="000000"/>
                <w:szCs w:val="20"/>
                <w:lang w:eastAsia="en-GB"/>
              </w:rPr>
              <w:t>Monitor project’s process and potential procedural barriers and identify needs for project adjustments</w:t>
            </w:r>
          </w:p>
        </w:tc>
        <w:tc>
          <w:tcPr>
            <w:tcW w:w="2494" w:type="dxa"/>
          </w:tcPr>
          <w:p w14:paraId="530A4643" w14:textId="596FA009" w:rsidR="003A2390" w:rsidRPr="005D1707" w:rsidRDefault="003A2390" w:rsidP="004C5710">
            <w:pPr>
              <w:pStyle w:val="Table"/>
              <w:spacing w:after="0"/>
              <w:rPr>
                <w:szCs w:val="20"/>
                <w:shd w:val="clear" w:color="auto" w:fill="auto"/>
                <w:lang w:eastAsia="en-GB"/>
              </w:rPr>
            </w:pPr>
            <w:r w:rsidRPr="005D1707">
              <w:rPr>
                <w:szCs w:val="20"/>
                <w:lang w:eastAsia="en-GB"/>
              </w:rPr>
              <w:t>Formatively and summatively assess whether the programme was delivered appropriately and effectively</w:t>
            </w:r>
            <w:r w:rsidR="007F33B8">
              <w:rPr>
                <w:szCs w:val="20"/>
                <w:lang w:eastAsia="en-GB"/>
              </w:rPr>
              <w:t xml:space="preserve"> in a way which maximised the results</w:t>
            </w:r>
          </w:p>
        </w:tc>
        <w:tc>
          <w:tcPr>
            <w:tcW w:w="2948" w:type="dxa"/>
          </w:tcPr>
          <w:p w14:paraId="4C366848" w14:textId="74E955C5" w:rsidR="003A2390" w:rsidRPr="005D1707" w:rsidRDefault="003A2390" w:rsidP="004C5710">
            <w:pPr>
              <w:pStyle w:val="Table"/>
              <w:spacing w:after="0"/>
              <w:rPr>
                <w:szCs w:val="20"/>
                <w:lang w:eastAsia="en-GB"/>
              </w:rPr>
            </w:pPr>
            <w:r w:rsidRPr="005D1707">
              <w:rPr>
                <w:szCs w:val="20"/>
              </w:rPr>
              <w:t>Monitoring, observation, interviews, questionnaire, surveys rating scales, record</w:t>
            </w:r>
            <w:r w:rsidR="000E6C1E">
              <w:rPr>
                <w:szCs w:val="20"/>
              </w:rPr>
              <w:t xml:space="preserve"> </w:t>
            </w:r>
            <w:r w:rsidRPr="005D1707">
              <w:rPr>
                <w:szCs w:val="20"/>
              </w:rPr>
              <w:t xml:space="preserve">analysis, case studies, focus groups, self-reflection, </w:t>
            </w:r>
            <w:r w:rsidRPr="005D1707">
              <w:rPr>
                <w:szCs w:val="20"/>
                <w:lang w:eastAsia="en-GB"/>
              </w:rPr>
              <w:t>reflective logs</w:t>
            </w:r>
          </w:p>
        </w:tc>
      </w:tr>
      <w:tr w:rsidR="003A2390" w:rsidRPr="005D1707" w14:paraId="6D76F3FD" w14:textId="77777777" w:rsidTr="004C5710">
        <w:tc>
          <w:tcPr>
            <w:tcW w:w="1477" w:type="dxa"/>
          </w:tcPr>
          <w:p w14:paraId="109D0EBD" w14:textId="77777777" w:rsidR="003A2390" w:rsidRPr="005D1707" w:rsidRDefault="003A2390" w:rsidP="004C5710">
            <w:pPr>
              <w:pStyle w:val="Table"/>
              <w:spacing w:after="0"/>
              <w:rPr>
                <w:szCs w:val="20"/>
              </w:rPr>
            </w:pPr>
            <w:r w:rsidRPr="005D1707">
              <w:rPr>
                <w:szCs w:val="20"/>
              </w:rPr>
              <w:t>Context</w:t>
            </w:r>
          </w:p>
        </w:tc>
        <w:tc>
          <w:tcPr>
            <w:tcW w:w="2494" w:type="dxa"/>
          </w:tcPr>
          <w:p w14:paraId="744B3250" w14:textId="7110D97C" w:rsidR="003A2390" w:rsidRPr="005D1707" w:rsidRDefault="003A2390" w:rsidP="004C5710">
            <w:pPr>
              <w:pStyle w:val="Table"/>
              <w:spacing w:after="0"/>
              <w:rPr>
                <w:color w:val="000000"/>
                <w:szCs w:val="20"/>
                <w:shd w:val="clear" w:color="auto" w:fill="auto"/>
                <w:lang w:eastAsia="en-GB"/>
              </w:rPr>
            </w:pPr>
            <w:r w:rsidRPr="005D1707">
              <w:rPr>
                <w:color w:val="000000"/>
                <w:szCs w:val="20"/>
                <w:lang w:eastAsia="en-GB"/>
              </w:rPr>
              <w:t>Assess the setting for the programme and what’s needed to make it work (</w:t>
            </w:r>
            <w:r w:rsidR="0080012D">
              <w:rPr>
                <w:color w:val="000000"/>
                <w:szCs w:val="20"/>
                <w:lang w:eastAsia="en-GB"/>
              </w:rPr>
              <w:t xml:space="preserve">inputs, </w:t>
            </w:r>
            <w:r w:rsidRPr="005D1707">
              <w:rPr>
                <w:color w:val="000000"/>
                <w:szCs w:val="20"/>
                <w:lang w:eastAsia="en-GB"/>
              </w:rPr>
              <w:t>resources, linkages, relationships)</w:t>
            </w:r>
          </w:p>
        </w:tc>
        <w:tc>
          <w:tcPr>
            <w:tcW w:w="2494" w:type="dxa"/>
          </w:tcPr>
          <w:p w14:paraId="5EE3E973" w14:textId="7517F61F" w:rsidR="00611644" w:rsidRPr="005D1707" w:rsidRDefault="00611644" w:rsidP="004C5710">
            <w:pPr>
              <w:pStyle w:val="Table"/>
              <w:spacing w:after="0"/>
              <w:rPr>
                <w:szCs w:val="20"/>
                <w:lang w:eastAsia="en-GB"/>
              </w:rPr>
            </w:pPr>
            <w:r w:rsidRPr="005D1707">
              <w:rPr>
                <w:szCs w:val="20"/>
                <w:lang w:eastAsia="en-GB"/>
              </w:rPr>
              <w:t xml:space="preserve">Specify </w:t>
            </w:r>
            <w:r w:rsidR="00C132D3">
              <w:rPr>
                <w:szCs w:val="20"/>
                <w:lang w:eastAsia="en-GB"/>
              </w:rPr>
              <w:t xml:space="preserve">what and </w:t>
            </w:r>
            <w:r w:rsidRPr="005D1707">
              <w:rPr>
                <w:szCs w:val="20"/>
                <w:lang w:eastAsia="en-GB"/>
              </w:rPr>
              <w:t xml:space="preserve">how </w:t>
            </w:r>
            <w:r>
              <w:rPr>
                <w:szCs w:val="20"/>
                <w:lang w:eastAsia="en-GB"/>
              </w:rPr>
              <w:t xml:space="preserve">the </w:t>
            </w:r>
            <w:r w:rsidR="00F20EAC">
              <w:rPr>
                <w:szCs w:val="20"/>
                <w:lang w:eastAsia="en-GB"/>
              </w:rPr>
              <w:t xml:space="preserve">inputs and contextual </w:t>
            </w:r>
            <w:r>
              <w:rPr>
                <w:szCs w:val="20"/>
                <w:lang w:eastAsia="en-GB"/>
              </w:rPr>
              <w:t xml:space="preserve">factors will be </w:t>
            </w:r>
            <w:r w:rsidRPr="005D1707">
              <w:rPr>
                <w:szCs w:val="20"/>
                <w:lang w:eastAsia="en-GB"/>
              </w:rPr>
              <w:t>analysed and judged</w:t>
            </w:r>
          </w:p>
          <w:p w14:paraId="687FD464" w14:textId="77777777" w:rsidR="00611644" w:rsidRPr="005D1707" w:rsidRDefault="00611644" w:rsidP="004C5710">
            <w:pPr>
              <w:pStyle w:val="Table"/>
              <w:spacing w:after="0"/>
              <w:rPr>
                <w:szCs w:val="20"/>
                <w:lang w:eastAsia="en-GB"/>
              </w:rPr>
            </w:pPr>
          </w:p>
          <w:p w14:paraId="03D6161C" w14:textId="7775023E" w:rsidR="003A2390" w:rsidRPr="005D1707" w:rsidRDefault="003A2390" w:rsidP="004C5710">
            <w:pPr>
              <w:pStyle w:val="Table"/>
              <w:spacing w:after="0"/>
              <w:rPr>
                <w:szCs w:val="20"/>
              </w:rPr>
            </w:pPr>
          </w:p>
        </w:tc>
        <w:tc>
          <w:tcPr>
            <w:tcW w:w="2494" w:type="dxa"/>
          </w:tcPr>
          <w:p w14:paraId="471AEB24" w14:textId="5E0DCA3D" w:rsidR="00C132D3" w:rsidRPr="005D1707" w:rsidRDefault="005D1707" w:rsidP="004C5710">
            <w:pPr>
              <w:pStyle w:val="Table"/>
              <w:spacing w:after="0"/>
              <w:rPr>
                <w:szCs w:val="20"/>
              </w:rPr>
            </w:pPr>
            <w:r>
              <w:rPr>
                <w:szCs w:val="20"/>
              </w:rPr>
              <w:t>C</w:t>
            </w:r>
            <w:r w:rsidRPr="005D1707">
              <w:rPr>
                <w:szCs w:val="20"/>
              </w:rPr>
              <w:t xml:space="preserve">apture organisation, </w:t>
            </w:r>
            <w:proofErr w:type="gramStart"/>
            <w:r w:rsidRPr="005D1707">
              <w:rPr>
                <w:szCs w:val="20"/>
              </w:rPr>
              <w:t>stakeholder</w:t>
            </w:r>
            <w:proofErr w:type="gramEnd"/>
            <w:r w:rsidRPr="005D1707">
              <w:rPr>
                <w:szCs w:val="20"/>
              </w:rPr>
              <w:t xml:space="preserve"> and community arrangements</w:t>
            </w:r>
            <w:r w:rsidR="00C132D3">
              <w:rPr>
                <w:szCs w:val="20"/>
              </w:rPr>
              <w:t>.</w:t>
            </w:r>
            <w:r w:rsidR="00043707">
              <w:rPr>
                <w:szCs w:val="20"/>
              </w:rPr>
              <w:t xml:space="preserve"> </w:t>
            </w:r>
            <w:r w:rsidR="00C132D3">
              <w:rPr>
                <w:szCs w:val="20"/>
              </w:rPr>
              <w:t xml:space="preserve">Capture the effect of external context on engagement, </w:t>
            </w:r>
            <w:proofErr w:type="gramStart"/>
            <w:r w:rsidR="00C132D3">
              <w:rPr>
                <w:szCs w:val="20"/>
              </w:rPr>
              <w:t>participation</w:t>
            </w:r>
            <w:proofErr w:type="gramEnd"/>
            <w:r w:rsidR="00C132D3">
              <w:rPr>
                <w:szCs w:val="20"/>
              </w:rPr>
              <w:t xml:space="preserve"> and results</w:t>
            </w:r>
          </w:p>
        </w:tc>
        <w:tc>
          <w:tcPr>
            <w:tcW w:w="2494" w:type="dxa"/>
          </w:tcPr>
          <w:p w14:paraId="0C436512" w14:textId="3C818F5D" w:rsidR="0065095B" w:rsidRDefault="003A2390" w:rsidP="004C5710">
            <w:pPr>
              <w:pStyle w:val="Table"/>
              <w:spacing w:after="0"/>
              <w:rPr>
                <w:szCs w:val="20"/>
                <w:lang w:eastAsia="en-GB"/>
              </w:rPr>
            </w:pPr>
            <w:r w:rsidRPr="005D1707">
              <w:rPr>
                <w:szCs w:val="20"/>
                <w:lang w:eastAsia="en-GB"/>
              </w:rPr>
              <w:t>Identify programme, stakeholder and community aspects which support or inhibit success.</w:t>
            </w:r>
          </w:p>
          <w:p w14:paraId="6EBB9C0B" w14:textId="108924F4" w:rsidR="0065095B" w:rsidRPr="005D1707" w:rsidRDefault="0065095B" w:rsidP="004C5710">
            <w:pPr>
              <w:pStyle w:val="Table"/>
              <w:spacing w:after="0"/>
              <w:rPr>
                <w:szCs w:val="20"/>
              </w:rPr>
            </w:pPr>
            <w:r>
              <w:rPr>
                <w:szCs w:val="20"/>
                <w:lang w:eastAsia="en-GB"/>
              </w:rPr>
              <w:t>Identify implications for future interventions</w:t>
            </w:r>
          </w:p>
        </w:tc>
        <w:tc>
          <w:tcPr>
            <w:tcW w:w="2948" w:type="dxa"/>
          </w:tcPr>
          <w:p w14:paraId="2E5E3547" w14:textId="0403E051" w:rsidR="003A2390" w:rsidRPr="005D1707" w:rsidRDefault="003A2390" w:rsidP="004C5710">
            <w:pPr>
              <w:pStyle w:val="Table"/>
              <w:spacing w:after="0"/>
              <w:rPr>
                <w:szCs w:val="20"/>
              </w:rPr>
            </w:pPr>
            <w:r w:rsidRPr="005D1707">
              <w:rPr>
                <w:szCs w:val="20"/>
              </w:rPr>
              <w:t xml:space="preserve">Data analysis. </w:t>
            </w:r>
            <w:r w:rsidR="002D2E43">
              <w:rPr>
                <w:szCs w:val="20"/>
              </w:rPr>
              <w:t>s</w:t>
            </w:r>
            <w:r w:rsidRPr="005D1707">
              <w:rPr>
                <w:szCs w:val="20"/>
              </w:rPr>
              <w:t xml:space="preserve">takeholder analysis, </w:t>
            </w:r>
            <w:r w:rsidR="006E6F4D">
              <w:rPr>
                <w:szCs w:val="20"/>
              </w:rPr>
              <w:t xml:space="preserve">participant and </w:t>
            </w:r>
            <w:r w:rsidRPr="005D1707">
              <w:rPr>
                <w:szCs w:val="20"/>
              </w:rPr>
              <w:t xml:space="preserve">stakeholder feedback, </w:t>
            </w:r>
            <w:proofErr w:type="gramStart"/>
            <w:r w:rsidRPr="005D1707">
              <w:rPr>
                <w:szCs w:val="20"/>
              </w:rPr>
              <w:t>organisations</w:t>
            </w:r>
            <w:proofErr w:type="gramEnd"/>
            <w:r w:rsidRPr="005D1707">
              <w:rPr>
                <w:szCs w:val="20"/>
              </w:rPr>
              <w:t xml:space="preserve"> and systems analysis</w:t>
            </w:r>
          </w:p>
          <w:p w14:paraId="6F2EB231" w14:textId="77777777" w:rsidR="003A2390" w:rsidRPr="005D1707" w:rsidRDefault="003A2390" w:rsidP="004C5710">
            <w:pPr>
              <w:pStyle w:val="Table"/>
              <w:spacing w:after="0"/>
              <w:rPr>
                <w:szCs w:val="20"/>
              </w:rPr>
            </w:pPr>
          </w:p>
        </w:tc>
      </w:tr>
      <w:tr w:rsidR="003A2390" w:rsidRPr="005D1707" w14:paraId="1A3F6A32" w14:textId="77777777" w:rsidTr="004C5710">
        <w:tc>
          <w:tcPr>
            <w:tcW w:w="1477" w:type="dxa"/>
          </w:tcPr>
          <w:p w14:paraId="077B2A39" w14:textId="65AA42F4" w:rsidR="003A2390" w:rsidRPr="005D1707" w:rsidRDefault="00C710FA" w:rsidP="004C5710">
            <w:pPr>
              <w:pStyle w:val="Table"/>
              <w:spacing w:after="0"/>
              <w:rPr>
                <w:szCs w:val="20"/>
              </w:rPr>
            </w:pPr>
            <w:r>
              <w:rPr>
                <w:szCs w:val="20"/>
              </w:rPr>
              <w:t>Consequences</w:t>
            </w:r>
          </w:p>
        </w:tc>
        <w:tc>
          <w:tcPr>
            <w:tcW w:w="2494" w:type="dxa"/>
          </w:tcPr>
          <w:p w14:paraId="1B0F832F" w14:textId="77777777" w:rsidR="003A2390" w:rsidRPr="005D1707" w:rsidRDefault="003A2390" w:rsidP="004C5710">
            <w:pPr>
              <w:pStyle w:val="Table"/>
              <w:spacing w:after="0"/>
              <w:rPr>
                <w:szCs w:val="20"/>
              </w:rPr>
            </w:pPr>
            <w:r w:rsidRPr="005D1707">
              <w:rPr>
                <w:szCs w:val="20"/>
                <w:lang w:eastAsia="en-GB"/>
              </w:rPr>
              <w:t xml:space="preserve">Identify the learning goals, benefits, </w:t>
            </w:r>
            <w:proofErr w:type="gramStart"/>
            <w:r w:rsidRPr="005D1707">
              <w:rPr>
                <w:szCs w:val="20"/>
                <w:lang w:eastAsia="en-GB"/>
              </w:rPr>
              <w:t>outcomes</w:t>
            </w:r>
            <w:proofErr w:type="gramEnd"/>
            <w:r w:rsidRPr="005D1707">
              <w:rPr>
                <w:szCs w:val="20"/>
                <w:lang w:eastAsia="en-GB"/>
              </w:rPr>
              <w:t xml:space="preserve"> and impacts</w:t>
            </w:r>
          </w:p>
        </w:tc>
        <w:tc>
          <w:tcPr>
            <w:tcW w:w="2494" w:type="dxa"/>
          </w:tcPr>
          <w:p w14:paraId="3D285793" w14:textId="334A0796" w:rsidR="003A2390" w:rsidRPr="005D1707" w:rsidRDefault="003A2390" w:rsidP="004C5710">
            <w:pPr>
              <w:pStyle w:val="Table"/>
              <w:spacing w:after="0"/>
              <w:rPr>
                <w:szCs w:val="20"/>
                <w:lang w:eastAsia="en-GB"/>
              </w:rPr>
            </w:pPr>
            <w:r w:rsidRPr="005D1707">
              <w:rPr>
                <w:szCs w:val="20"/>
                <w:lang w:eastAsia="en-GB"/>
              </w:rPr>
              <w:t>Specify how intended outcomes with be analysed and judged</w:t>
            </w:r>
          </w:p>
          <w:p w14:paraId="4FB47067" w14:textId="77777777" w:rsidR="003A2390" w:rsidRPr="005D1707" w:rsidRDefault="003A2390" w:rsidP="004C5710">
            <w:pPr>
              <w:pStyle w:val="Table"/>
              <w:spacing w:after="0"/>
              <w:rPr>
                <w:szCs w:val="20"/>
                <w:lang w:eastAsia="en-GB"/>
              </w:rPr>
            </w:pPr>
          </w:p>
          <w:p w14:paraId="5848FCA1" w14:textId="77777777" w:rsidR="003A2390" w:rsidRPr="005D1707" w:rsidRDefault="003A2390" w:rsidP="004C5710">
            <w:pPr>
              <w:pStyle w:val="Table"/>
              <w:spacing w:after="0"/>
              <w:rPr>
                <w:szCs w:val="20"/>
              </w:rPr>
            </w:pPr>
          </w:p>
          <w:p w14:paraId="031084D5" w14:textId="77777777" w:rsidR="003A2390" w:rsidRPr="005D1707" w:rsidRDefault="003A2390" w:rsidP="004C5710">
            <w:pPr>
              <w:pStyle w:val="Table"/>
              <w:spacing w:after="0"/>
              <w:rPr>
                <w:szCs w:val="20"/>
              </w:rPr>
            </w:pPr>
          </w:p>
        </w:tc>
        <w:tc>
          <w:tcPr>
            <w:tcW w:w="2494" w:type="dxa"/>
          </w:tcPr>
          <w:p w14:paraId="2BC498C7" w14:textId="77777777" w:rsidR="003A2390" w:rsidRPr="005D1707" w:rsidRDefault="003A2390" w:rsidP="004C5710">
            <w:pPr>
              <w:pStyle w:val="Table"/>
              <w:spacing w:after="0"/>
              <w:rPr>
                <w:szCs w:val="20"/>
              </w:rPr>
            </w:pPr>
            <w:r w:rsidRPr="005D1707">
              <w:rPr>
                <w:color w:val="000000"/>
                <w:szCs w:val="20"/>
                <w:lang w:eastAsia="en-GB"/>
              </w:rPr>
              <w:t>Measure whether specified results are being met</w:t>
            </w:r>
          </w:p>
        </w:tc>
        <w:tc>
          <w:tcPr>
            <w:tcW w:w="2494" w:type="dxa"/>
          </w:tcPr>
          <w:p w14:paraId="3025C304" w14:textId="2A5B53DC" w:rsidR="003A2390" w:rsidRPr="005D1707" w:rsidRDefault="003A2390" w:rsidP="004C5710">
            <w:pPr>
              <w:pStyle w:val="Table"/>
              <w:spacing w:after="0"/>
              <w:rPr>
                <w:color w:val="000000"/>
                <w:szCs w:val="20"/>
                <w:shd w:val="clear" w:color="auto" w:fill="auto"/>
                <w:lang w:eastAsia="en-GB"/>
              </w:rPr>
            </w:pPr>
            <w:r w:rsidRPr="005D1707">
              <w:rPr>
                <w:color w:val="000000"/>
                <w:szCs w:val="20"/>
                <w:lang w:eastAsia="en-GB"/>
              </w:rPr>
              <w:t>Interpret, and judge project outcomes, and interpret their merit, worth/</w:t>
            </w:r>
            <w:proofErr w:type="gramStart"/>
            <w:r w:rsidRPr="005D1707">
              <w:rPr>
                <w:color w:val="000000"/>
                <w:szCs w:val="20"/>
                <w:lang w:eastAsia="en-GB"/>
              </w:rPr>
              <w:t>significance</w:t>
            </w:r>
            <w:proofErr w:type="gramEnd"/>
            <w:r w:rsidRPr="005D1707">
              <w:rPr>
                <w:color w:val="000000"/>
                <w:szCs w:val="20"/>
                <w:lang w:eastAsia="en-GB"/>
              </w:rPr>
              <w:t xml:space="preserve"> and probity</w:t>
            </w:r>
          </w:p>
        </w:tc>
        <w:tc>
          <w:tcPr>
            <w:tcW w:w="2948" w:type="dxa"/>
          </w:tcPr>
          <w:p w14:paraId="33B74E31" w14:textId="165043F9" w:rsidR="003A2390" w:rsidRPr="005D1707" w:rsidRDefault="003A2390" w:rsidP="004C5710">
            <w:pPr>
              <w:pStyle w:val="Table"/>
              <w:spacing w:after="0"/>
              <w:rPr>
                <w:color w:val="000000"/>
                <w:szCs w:val="20"/>
                <w:lang w:eastAsia="en-GB"/>
              </w:rPr>
            </w:pPr>
            <w:r w:rsidRPr="005D1707">
              <w:rPr>
                <w:color w:val="000000"/>
                <w:szCs w:val="20"/>
                <w:lang w:eastAsia="en-GB"/>
              </w:rPr>
              <w:t>Post-program</w:t>
            </w:r>
            <w:r w:rsidR="00FB205C">
              <w:rPr>
                <w:color w:val="000000"/>
                <w:szCs w:val="20"/>
                <w:lang w:eastAsia="en-GB"/>
              </w:rPr>
              <w:t>m</w:t>
            </w:r>
            <w:r w:rsidRPr="005D1707">
              <w:rPr>
                <w:color w:val="000000"/>
                <w:szCs w:val="20"/>
                <w:lang w:eastAsia="en-GB"/>
              </w:rPr>
              <w:t xml:space="preserve">e quantitative assessments of outcomes and impact, </w:t>
            </w:r>
            <w:r w:rsidRPr="005D1707">
              <w:rPr>
                <w:szCs w:val="20"/>
              </w:rPr>
              <w:t>Behavioural measures (tracking data and follow-up) and self-reported measures (surveys, interviews, logs/diaries, focus groups, creative methods, case studies), stakeholder feedback</w:t>
            </w:r>
            <w:r w:rsidR="00997E26">
              <w:rPr>
                <w:color w:val="000000"/>
                <w:szCs w:val="20"/>
                <w:lang w:eastAsia="en-GB"/>
              </w:rPr>
              <w:t>, formal assessment measures</w:t>
            </w:r>
          </w:p>
        </w:tc>
      </w:tr>
    </w:tbl>
    <w:p w14:paraId="602D83D7" w14:textId="77777777" w:rsidR="00DF3272" w:rsidRDefault="00DF3272" w:rsidP="003A2390">
      <w:pPr>
        <w:rPr>
          <w:rFonts w:ascii="Cambria" w:hAnsi="Cambria"/>
          <w:color w:val="212121"/>
          <w:sz w:val="30"/>
          <w:szCs w:val="30"/>
          <w:shd w:val="clear" w:color="auto" w:fill="FFFFFF"/>
        </w:rPr>
        <w:sectPr w:rsidR="00DF3272" w:rsidSect="00DF3272">
          <w:headerReference w:type="default" r:id="rId16"/>
          <w:pgSz w:w="16838" w:h="11906" w:orient="landscape"/>
          <w:pgMar w:top="1080" w:right="1440" w:bottom="1080" w:left="1560" w:header="708" w:footer="708" w:gutter="0"/>
          <w:cols w:space="708"/>
          <w:docGrid w:linePitch="360"/>
        </w:sectPr>
      </w:pPr>
    </w:p>
    <w:p w14:paraId="41E01C65" w14:textId="5D51A702" w:rsidR="00C71B79" w:rsidRPr="00D31BC7" w:rsidRDefault="00C762A4" w:rsidP="00C762A4">
      <w:pPr>
        <w:rPr>
          <w:rFonts w:ascii="Gill Sans MT" w:hAnsi="Gill Sans MT"/>
        </w:rPr>
      </w:pPr>
      <w:r>
        <w:rPr>
          <w:rFonts w:ascii="Gill Sans MT" w:hAnsi="Gill Sans MT"/>
        </w:rPr>
        <w:lastRenderedPageBreak/>
        <w:t xml:space="preserve">  Ta</w:t>
      </w:r>
      <w:r w:rsidR="00FA788F">
        <w:rPr>
          <w:rFonts w:ascii="Gill Sans MT" w:hAnsi="Gill Sans MT"/>
        </w:rPr>
        <w:t xml:space="preserve">ble 3: NERUPI evaluation </w:t>
      </w:r>
      <w:r w:rsidR="00C04587">
        <w:rPr>
          <w:rFonts w:ascii="Gill Sans MT" w:hAnsi="Gill Sans MT"/>
        </w:rPr>
        <w:t>phases and steps</w:t>
      </w:r>
    </w:p>
    <w:tbl>
      <w:tblPr>
        <w:tblStyle w:val="TableGrid"/>
        <w:tblW w:w="15446" w:type="dxa"/>
        <w:tblLook w:val="04A0" w:firstRow="1" w:lastRow="0" w:firstColumn="1" w:lastColumn="0" w:noHBand="0" w:noVBand="1"/>
      </w:tblPr>
      <w:tblGrid>
        <w:gridCol w:w="3256"/>
        <w:gridCol w:w="4111"/>
        <w:gridCol w:w="4111"/>
        <w:gridCol w:w="3968"/>
      </w:tblGrid>
      <w:tr w:rsidR="00C71B79" w:rsidRPr="00C25316" w14:paraId="2F56DAD1" w14:textId="77777777" w:rsidTr="0053375D">
        <w:trPr>
          <w:tblHeader/>
        </w:trPr>
        <w:tc>
          <w:tcPr>
            <w:tcW w:w="3256" w:type="dxa"/>
          </w:tcPr>
          <w:p w14:paraId="440152E4" w14:textId="6BC3A343" w:rsidR="00C71B79" w:rsidRPr="00C25316" w:rsidRDefault="00C71B79" w:rsidP="00947564">
            <w:pPr>
              <w:rPr>
                <w:rFonts w:ascii="Gill Sans MT" w:hAnsi="Gill Sans MT"/>
                <w:b/>
                <w:bCs/>
                <w:color w:val="7030A0"/>
                <w:sz w:val="20"/>
                <w:szCs w:val="20"/>
              </w:rPr>
            </w:pPr>
            <w:r w:rsidRPr="00C25316">
              <w:rPr>
                <w:rFonts w:ascii="Gill Sans MT" w:hAnsi="Gill Sans MT"/>
                <w:b/>
                <w:bCs/>
                <w:color w:val="7030A0"/>
                <w:sz w:val="20"/>
                <w:szCs w:val="20"/>
              </w:rPr>
              <w:t>Stage/Step</w:t>
            </w:r>
          </w:p>
        </w:tc>
        <w:tc>
          <w:tcPr>
            <w:tcW w:w="4111" w:type="dxa"/>
          </w:tcPr>
          <w:p w14:paraId="01D5CB4D" w14:textId="7653E7F3" w:rsidR="00C71B79" w:rsidRPr="00C25316" w:rsidRDefault="00C71B79" w:rsidP="00947564">
            <w:pPr>
              <w:rPr>
                <w:rFonts w:ascii="Gill Sans MT" w:hAnsi="Gill Sans MT"/>
                <w:b/>
                <w:bCs/>
                <w:sz w:val="20"/>
                <w:szCs w:val="20"/>
              </w:rPr>
            </w:pPr>
            <w:r w:rsidRPr="00C25316">
              <w:rPr>
                <w:rFonts w:ascii="Gill Sans MT" w:hAnsi="Gill Sans MT"/>
                <w:b/>
                <w:bCs/>
                <w:color w:val="7030A0"/>
                <w:sz w:val="20"/>
                <w:szCs w:val="20"/>
              </w:rPr>
              <w:t>Key Tasks</w:t>
            </w:r>
          </w:p>
        </w:tc>
        <w:tc>
          <w:tcPr>
            <w:tcW w:w="4111" w:type="dxa"/>
          </w:tcPr>
          <w:p w14:paraId="01E4ED9E" w14:textId="0C10F1A0" w:rsidR="00C71B79" w:rsidRPr="00C25316" w:rsidRDefault="00C71B79" w:rsidP="00947564">
            <w:pPr>
              <w:rPr>
                <w:rFonts w:ascii="Gill Sans MT" w:hAnsi="Gill Sans MT"/>
                <w:b/>
                <w:bCs/>
                <w:sz w:val="20"/>
                <w:szCs w:val="20"/>
              </w:rPr>
            </w:pPr>
            <w:r w:rsidRPr="00C25316">
              <w:rPr>
                <w:rFonts w:ascii="Gill Sans MT" w:hAnsi="Gill Sans MT"/>
                <w:b/>
                <w:bCs/>
                <w:color w:val="7030A0"/>
                <w:sz w:val="20"/>
                <w:szCs w:val="20"/>
              </w:rPr>
              <w:t>Potential Challenges</w:t>
            </w:r>
          </w:p>
        </w:tc>
        <w:tc>
          <w:tcPr>
            <w:tcW w:w="3968" w:type="dxa"/>
          </w:tcPr>
          <w:p w14:paraId="467C730F" w14:textId="372C8212" w:rsidR="00C71B79" w:rsidRPr="00C25316" w:rsidRDefault="00C71B79" w:rsidP="00947564">
            <w:pPr>
              <w:rPr>
                <w:rFonts w:ascii="Gill Sans MT" w:hAnsi="Gill Sans MT"/>
                <w:b/>
                <w:bCs/>
                <w:sz w:val="20"/>
                <w:szCs w:val="20"/>
              </w:rPr>
            </w:pPr>
            <w:r w:rsidRPr="00C25316">
              <w:rPr>
                <w:rFonts w:ascii="Gill Sans MT" w:hAnsi="Gill Sans MT"/>
                <w:b/>
                <w:bCs/>
                <w:color w:val="7030A0"/>
                <w:sz w:val="20"/>
                <w:szCs w:val="20"/>
              </w:rPr>
              <w:t>NERUPI Tools and resources</w:t>
            </w:r>
          </w:p>
        </w:tc>
      </w:tr>
      <w:tr w:rsidR="004C3129" w:rsidRPr="00C25316" w14:paraId="2EE130A7" w14:textId="77777777" w:rsidTr="00715C2A">
        <w:tc>
          <w:tcPr>
            <w:tcW w:w="15446" w:type="dxa"/>
            <w:gridSpan w:val="4"/>
          </w:tcPr>
          <w:p w14:paraId="0BD96AC1" w14:textId="6859A1E5" w:rsidR="005B79F0" w:rsidRPr="00C25316" w:rsidRDefault="00354120" w:rsidP="00E8615D">
            <w:pPr>
              <w:rPr>
                <w:rFonts w:ascii="Gill Sans MT" w:hAnsi="Gill Sans MT"/>
                <w:b/>
                <w:bCs/>
                <w:color w:val="7030A0"/>
                <w:sz w:val="20"/>
                <w:szCs w:val="20"/>
              </w:rPr>
            </w:pPr>
            <w:r w:rsidRPr="00C25316">
              <w:rPr>
                <w:rFonts w:ascii="Gill Sans MT" w:hAnsi="Gill Sans MT"/>
                <w:b/>
                <w:bCs/>
                <w:color w:val="007D98"/>
                <w:sz w:val="20"/>
                <w:szCs w:val="20"/>
              </w:rPr>
              <w:t xml:space="preserve">1. </w:t>
            </w:r>
            <w:r w:rsidR="00710DA4" w:rsidRPr="00C25316">
              <w:rPr>
                <w:rFonts w:ascii="Gill Sans MT" w:hAnsi="Gill Sans MT"/>
                <w:b/>
                <w:bCs/>
                <w:color w:val="007D98"/>
                <w:sz w:val="20"/>
                <w:szCs w:val="20"/>
              </w:rPr>
              <w:t>Groundwork</w:t>
            </w:r>
          </w:p>
        </w:tc>
      </w:tr>
      <w:tr w:rsidR="004C3129" w:rsidRPr="00C25316" w14:paraId="1C6259F1" w14:textId="77777777" w:rsidTr="00715C2A">
        <w:tc>
          <w:tcPr>
            <w:tcW w:w="3256" w:type="dxa"/>
          </w:tcPr>
          <w:p w14:paraId="76FD3EE1" w14:textId="77777777" w:rsidR="00C71B79" w:rsidRDefault="00715C2A" w:rsidP="00947564">
            <w:pPr>
              <w:rPr>
                <w:rFonts w:ascii="Gill Sans MT" w:hAnsi="Gill Sans MT"/>
                <w:color w:val="000000" w:themeColor="text1"/>
                <w:sz w:val="20"/>
                <w:szCs w:val="20"/>
              </w:rPr>
            </w:pPr>
            <w:r w:rsidRPr="00C25316">
              <w:rPr>
                <w:rFonts w:ascii="Gill Sans MT" w:hAnsi="Gill Sans MT"/>
                <w:color w:val="000000" w:themeColor="text1"/>
                <w:sz w:val="20"/>
                <w:szCs w:val="20"/>
              </w:rPr>
              <w:t xml:space="preserve">Step 1) </w:t>
            </w:r>
            <w:r w:rsidR="007F2511">
              <w:rPr>
                <w:rFonts w:ascii="Gill Sans MT" w:hAnsi="Gill Sans MT"/>
                <w:color w:val="000000" w:themeColor="text1"/>
                <w:sz w:val="20"/>
                <w:szCs w:val="20"/>
              </w:rPr>
              <w:t>A</w:t>
            </w:r>
            <w:r w:rsidR="00710DA4" w:rsidRPr="00C25316">
              <w:rPr>
                <w:rFonts w:ascii="Gill Sans MT" w:hAnsi="Gill Sans MT"/>
                <w:color w:val="000000" w:themeColor="text1"/>
                <w:sz w:val="20"/>
                <w:szCs w:val="20"/>
              </w:rPr>
              <w:t>pproach to praxis and learning from evaluation</w:t>
            </w:r>
          </w:p>
          <w:p w14:paraId="101D163B" w14:textId="77777777" w:rsidR="00C7181F" w:rsidRDefault="00C7181F" w:rsidP="00947564">
            <w:pPr>
              <w:rPr>
                <w:rFonts w:ascii="Gill Sans MT" w:hAnsi="Gill Sans MT"/>
                <w:color w:val="007D98"/>
                <w:sz w:val="20"/>
                <w:szCs w:val="20"/>
              </w:rPr>
            </w:pPr>
          </w:p>
          <w:p w14:paraId="10143589" w14:textId="7B87F597" w:rsidR="00C7181F" w:rsidRPr="00C25316" w:rsidRDefault="009E0937" w:rsidP="00947564">
            <w:pPr>
              <w:rPr>
                <w:rFonts w:ascii="Gill Sans MT" w:hAnsi="Gill Sans MT"/>
                <w:color w:val="007D98"/>
                <w:sz w:val="20"/>
                <w:szCs w:val="20"/>
              </w:rPr>
            </w:pPr>
            <w:r>
              <w:rPr>
                <w:rFonts w:ascii="Gill Sans MT" w:hAnsi="Gill Sans MT"/>
                <w:spacing w:val="-2"/>
                <w:sz w:val="20"/>
              </w:rPr>
              <w:t xml:space="preserve">Rationale: </w:t>
            </w:r>
            <w:r w:rsidR="00C7181F" w:rsidRPr="00006985">
              <w:rPr>
                <w:rFonts w:ascii="Gill Sans MT" w:hAnsi="Gill Sans MT"/>
                <w:spacing w:val="-2"/>
                <w:sz w:val="20"/>
              </w:rPr>
              <w:t>Organisations that are ready to engage in evaluation as a tool to support praxis need the key people involved in the delivery of equity initiatives, and who will be affected by evaluation, to become interested in thinking about evaluation and how they will use it for learning and development.</w:t>
            </w:r>
          </w:p>
        </w:tc>
        <w:tc>
          <w:tcPr>
            <w:tcW w:w="4111" w:type="dxa"/>
          </w:tcPr>
          <w:p w14:paraId="17043564" w14:textId="73CCC212" w:rsidR="005B79F0" w:rsidRPr="00C25316" w:rsidRDefault="00C074C2" w:rsidP="001C5A91">
            <w:pPr>
              <w:pStyle w:val="ListParagraph"/>
              <w:numPr>
                <w:ilvl w:val="0"/>
                <w:numId w:val="7"/>
              </w:numPr>
            </w:pPr>
            <w:r>
              <w:t xml:space="preserve">Identify </w:t>
            </w:r>
            <w:r w:rsidR="00DD183E">
              <w:t xml:space="preserve">the </w:t>
            </w:r>
            <w:r>
              <w:t>praxis team (</w:t>
            </w:r>
            <w:r w:rsidR="003D19A1">
              <w:t>new</w:t>
            </w:r>
            <w:r w:rsidR="005B79F0" w:rsidRPr="00C25316">
              <w:t xml:space="preserve"> stakeholder</w:t>
            </w:r>
            <w:r w:rsidR="003D19A1">
              <w:t xml:space="preserve"> group or </w:t>
            </w:r>
            <w:r w:rsidR="00FA321F" w:rsidRPr="00C25316">
              <w:t xml:space="preserve">existing group/committee) </w:t>
            </w:r>
            <w:r w:rsidR="005B79F0" w:rsidRPr="00C25316">
              <w:t>for involvement</w:t>
            </w:r>
            <w:r w:rsidR="00FA321F" w:rsidRPr="00C25316">
              <w:t xml:space="preserve">, </w:t>
            </w:r>
            <w:r w:rsidR="005B79F0" w:rsidRPr="00C25316">
              <w:t>decision-making</w:t>
            </w:r>
            <w:r w:rsidR="00FA321F" w:rsidRPr="00C25316">
              <w:t xml:space="preserve">, and </w:t>
            </w:r>
            <w:r w:rsidR="005B79F0" w:rsidRPr="00C25316">
              <w:t>operationalis</w:t>
            </w:r>
            <w:r w:rsidR="00FA321F" w:rsidRPr="00C25316">
              <w:t>ing</w:t>
            </w:r>
            <w:r w:rsidR="005B79F0" w:rsidRPr="00C25316">
              <w:t xml:space="preserve"> </w:t>
            </w:r>
            <w:r w:rsidR="00DD183E">
              <w:t>evaluation.</w:t>
            </w:r>
            <w:r w:rsidR="005B79F0" w:rsidRPr="00C25316">
              <w:t xml:space="preserve"> </w:t>
            </w:r>
          </w:p>
          <w:p w14:paraId="1780EC50" w14:textId="2EA5CAD4" w:rsidR="005B79F0" w:rsidRPr="00C25316" w:rsidRDefault="005B79F0" w:rsidP="001C5A91">
            <w:pPr>
              <w:pStyle w:val="ListParagraph"/>
              <w:numPr>
                <w:ilvl w:val="0"/>
                <w:numId w:val="7"/>
              </w:numPr>
            </w:pPr>
            <w:r w:rsidRPr="00C25316">
              <w:t>Facilitat</w:t>
            </w:r>
            <w:r w:rsidR="00DD183E">
              <w:t>e</w:t>
            </w:r>
            <w:r w:rsidRPr="00C25316">
              <w:t xml:space="preserve"> open conversations </w:t>
            </w:r>
            <w:r w:rsidR="00DD183E">
              <w:t>and</w:t>
            </w:r>
            <w:r w:rsidR="003B2D99" w:rsidRPr="00C25316">
              <w:t xml:space="preserve"> review </w:t>
            </w:r>
            <w:r w:rsidRPr="00C25316">
              <w:t>existing evaluation</w:t>
            </w:r>
            <w:r w:rsidR="003B2D99" w:rsidRPr="00C25316">
              <w:t xml:space="preserve"> (e.g</w:t>
            </w:r>
            <w:r w:rsidR="004A0A25" w:rsidRPr="00C25316">
              <w:t xml:space="preserve">. </w:t>
            </w:r>
            <w:r w:rsidRPr="00C25316">
              <w:t>baselin</w:t>
            </w:r>
            <w:r w:rsidR="00DD3ED2">
              <w:t>e</w:t>
            </w:r>
            <w:r w:rsidRPr="00C25316">
              <w:t xml:space="preserve"> previous evaluation, </w:t>
            </w:r>
            <w:r w:rsidR="00DD3ED2">
              <w:t>ask</w:t>
            </w:r>
            <w:r w:rsidRPr="00C25316">
              <w:t xml:space="preserve"> stakeholders about their attitudes to evaluation, </w:t>
            </w:r>
            <w:r w:rsidR="00345FA4">
              <w:t>undertake evaluation self-assessment</w:t>
            </w:r>
            <w:r w:rsidR="00A32580">
              <w:rPr>
                <w:rStyle w:val="Hyperlink"/>
                <w:color w:val="000000" w:themeColor="text1"/>
                <w:spacing w:val="0"/>
                <w:szCs w:val="20"/>
              </w:rPr>
              <w:t>)</w:t>
            </w:r>
            <w:r w:rsidR="004A0A25" w:rsidRPr="00C25316">
              <w:t xml:space="preserve">. </w:t>
            </w:r>
            <w:r w:rsidRPr="00C25316">
              <w:t xml:space="preserve">  </w:t>
            </w:r>
          </w:p>
          <w:p w14:paraId="72568B74" w14:textId="36BCCA45" w:rsidR="00C71B79" w:rsidRPr="00C25316" w:rsidRDefault="00BA2080" w:rsidP="001C5A91">
            <w:pPr>
              <w:pStyle w:val="ListParagraph"/>
              <w:numPr>
                <w:ilvl w:val="0"/>
                <w:numId w:val="7"/>
              </w:numPr>
            </w:pPr>
            <w:r w:rsidRPr="00BA2080">
              <w:t xml:space="preserve">Build commitment to following through an evaluation and using the findings. </w:t>
            </w:r>
          </w:p>
        </w:tc>
        <w:tc>
          <w:tcPr>
            <w:tcW w:w="4111" w:type="dxa"/>
          </w:tcPr>
          <w:p w14:paraId="009534C9" w14:textId="7772E7BF" w:rsidR="0015401D" w:rsidRPr="00C25316" w:rsidRDefault="0010592B" w:rsidP="001C5A91">
            <w:pPr>
              <w:pStyle w:val="ListParagraph"/>
              <w:numPr>
                <w:ilvl w:val="0"/>
                <w:numId w:val="7"/>
              </w:numPr>
            </w:pPr>
            <w:r w:rsidRPr="00C25316">
              <w:t xml:space="preserve">Integrating evaluation users and evaluators into an effective working group. </w:t>
            </w:r>
          </w:p>
          <w:p w14:paraId="64099253" w14:textId="40EB3ABE" w:rsidR="0015401D" w:rsidRPr="00C25316" w:rsidRDefault="0010592B" w:rsidP="001C5A91">
            <w:pPr>
              <w:pStyle w:val="ListParagraph"/>
              <w:numPr>
                <w:ilvl w:val="0"/>
                <w:numId w:val="7"/>
              </w:numPr>
            </w:pPr>
            <w:r w:rsidRPr="00C25316">
              <w:t xml:space="preserve">Building trust for honest discussions about capacity for evaluation and how evaluation is viewed. </w:t>
            </w:r>
          </w:p>
          <w:p w14:paraId="42AAFB5E" w14:textId="77777777" w:rsidR="0015401D" w:rsidRPr="00C25316" w:rsidRDefault="0010592B" w:rsidP="001C5A91">
            <w:pPr>
              <w:pStyle w:val="ListParagraph"/>
              <w:numPr>
                <w:ilvl w:val="0"/>
                <w:numId w:val="7"/>
              </w:numPr>
            </w:pPr>
            <w:r w:rsidRPr="00C25316">
              <w:t>Avoiding asymmetric relations and power differences that can hinder the communications and complicate the evaluation.</w:t>
            </w:r>
          </w:p>
          <w:p w14:paraId="7D30D44D" w14:textId="4047E40E" w:rsidR="00C71B79" w:rsidRPr="00C25316" w:rsidRDefault="0010592B" w:rsidP="001C5A91">
            <w:pPr>
              <w:pStyle w:val="ListParagraph"/>
              <w:numPr>
                <w:ilvl w:val="0"/>
                <w:numId w:val="7"/>
              </w:numPr>
            </w:pPr>
            <w:r w:rsidRPr="00C25316">
              <w:t xml:space="preserve">Keeping the focus on the </w:t>
            </w:r>
            <w:r w:rsidR="00C10E5E">
              <w:t xml:space="preserve">stakeholders who are the </w:t>
            </w:r>
            <w:r w:rsidRPr="00C25316">
              <w:t>primary users of the evaluation.</w:t>
            </w:r>
          </w:p>
        </w:tc>
        <w:tc>
          <w:tcPr>
            <w:tcW w:w="3968" w:type="dxa"/>
          </w:tcPr>
          <w:p w14:paraId="6126D9BC" w14:textId="2ABCC8BE" w:rsidR="00FA6B23" w:rsidRPr="00C25316" w:rsidRDefault="00FA6B23" w:rsidP="00FA6B23">
            <w:pPr>
              <w:rPr>
                <w:rFonts w:ascii="Gill Sans MT" w:hAnsi="Gill Sans MT"/>
                <w:color w:val="000000" w:themeColor="text1"/>
                <w:sz w:val="20"/>
                <w:szCs w:val="20"/>
              </w:rPr>
            </w:pPr>
            <w:r w:rsidRPr="00C25316">
              <w:rPr>
                <w:rFonts w:ascii="Gill Sans MT" w:hAnsi="Gill Sans MT"/>
                <w:color w:val="000000" w:themeColor="text1"/>
                <w:sz w:val="20"/>
                <w:szCs w:val="20"/>
              </w:rPr>
              <w:t xml:space="preserve">The NERUPI </w:t>
            </w:r>
            <w:hyperlink r:id="rId17" w:anchor="entry:6323@1:url" w:history="1">
              <w:r w:rsidRPr="00787BF6">
                <w:rPr>
                  <w:rStyle w:val="Hyperlink"/>
                  <w:rFonts w:ascii="Gill Sans MT" w:hAnsi="Gill Sans MT"/>
                  <w:kern w:val="2"/>
                  <w:sz w:val="20"/>
                  <w:szCs w:val="20"/>
                  <w14:ligatures w14:val="standardContextual"/>
                </w:rPr>
                <w:t>praxis team</w:t>
              </w:r>
            </w:hyperlink>
            <w:r w:rsidRPr="00C25316">
              <w:rPr>
                <w:rFonts w:ascii="Gill Sans MT" w:hAnsi="Gill Sans MT"/>
                <w:color w:val="000000" w:themeColor="text1"/>
                <w:sz w:val="20"/>
                <w:szCs w:val="20"/>
              </w:rPr>
              <w:t xml:space="preserve"> pages </w:t>
            </w:r>
          </w:p>
          <w:p w14:paraId="0E1037C4" w14:textId="77777777" w:rsidR="00FA6B23" w:rsidRPr="00C25316" w:rsidRDefault="00FA6B23" w:rsidP="00FA6B23">
            <w:pPr>
              <w:rPr>
                <w:rFonts w:ascii="Gill Sans MT" w:hAnsi="Gill Sans MT"/>
                <w:color w:val="000000" w:themeColor="text1"/>
                <w:sz w:val="20"/>
                <w:szCs w:val="20"/>
              </w:rPr>
            </w:pPr>
          </w:p>
          <w:p w14:paraId="2A7BE16E" w14:textId="4941E0AE" w:rsidR="00FA6B23" w:rsidRDefault="00FA6B23" w:rsidP="00FA6B23">
            <w:pPr>
              <w:rPr>
                <w:rFonts w:ascii="Gill Sans MT" w:hAnsi="Gill Sans MT"/>
                <w:color w:val="000000" w:themeColor="text1"/>
                <w:sz w:val="20"/>
                <w:szCs w:val="20"/>
              </w:rPr>
            </w:pPr>
            <w:r w:rsidRPr="00C25316">
              <w:rPr>
                <w:rFonts w:ascii="Gill Sans MT" w:hAnsi="Gill Sans MT"/>
                <w:color w:val="000000" w:themeColor="text1"/>
                <w:sz w:val="20"/>
                <w:szCs w:val="20"/>
              </w:rPr>
              <w:t xml:space="preserve">An overview of the </w:t>
            </w:r>
            <w:hyperlink r:id="rId18" w:history="1">
              <w:r w:rsidRPr="00011ACE">
                <w:rPr>
                  <w:rStyle w:val="Hyperlink"/>
                  <w:rFonts w:ascii="Gill Sans MT" w:hAnsi="Gill Sans MT"/>
                  <w:kern w:val="2"/>
                  <w:sz w:val="20"/>
                  <w:szCs w:val="20"/>
                  <w14:ligatures w14:val="standardContextual"/>
                </w:rPr>
                <w:t>NERUPI approach to evaluation</w:t>
              </w:r>
            </w:hyperlink>
            <w:r w:rsidRPr="00C25316">
              <w:rPr>
                <w:rFonts w:ascii="Gill Sans MT" w:hAnsi="Gill Sans MT"/>
                <w:color w:val="000000" w:themeColor="text1"/>
                <w:sz w:val="20"/>
                <w:szCs w:val="20"/>
              </w:rPr>
              <w:t xml:space="preserve"> </w:t>
            </w:r>
          </w:p>
          <w:p w14:paraId="5214DC11" w14:textId="77777777" w:rsidR="00117844" w:rsidRDefault="00117844" w:rsidP="00FA6B23">
            <w:pPr>
              <w:rPr>
                <w:rFonts w:ascii="Gill Sans MT" w:hAnsi="Gill Sans MT"/>
                <w:color w:val="000000" w:themeColor="text1"/>
                <w:sz w:val="20"/>
                <w:szCs w:val="20"/>
              </w:rPr>
            </w:pPr>
          </w:p>
          <w:p w14:paraId="35095B77" w14:textId="2962ED8B" w:rsidR="00117844" w:rsidRPr="00C25316" w:rsidRDefault="00117844" w:rsidP="00FA6B23">
            <w:pPr>
              <w:rPr>
                <w:rFonts w:ascii="Gill Sans MT" w:hAnsi="Gill Sans MT"/>
                <w:color w:val="000000" w:themeColor="text1"/>
                <w:sz w:val="20"/>
                <w:szCs w:val="20"/>
              </w:rPr>
            </w:pPr>
            <w:r>
              <w:rPr>
                <w:rFonts w:ascii="Gill Sans MT" w:hAnsi="Gill Sans MT"/>
                <w:color w:val="000000" w:themeColor="text1"/>
                <w:sz w:val="20"/>
                <w:szCs w:val="20"/>
              </w:rPr>
              <w:t xml:space="preserve">Link to the </w:t>
            </w:r>
            <w:hyperlink r:id="rId19" w:history="1">
              <w:r w:rsidRPr="008B0887">
                <w:rPr>
                  <w:rStyle w:val="Hyperlink"/>
                  <w:rFonts w:ascii="Gill Sans MT" w:hAnsi="Gill Sans MT"/>
                  <w:kern w:val="2"/>
                  <w:sz w:val="20"/>
                  <w:szCs w:val="20"/>
                  <w14:ligatures w14:val="standardContextual"/>
                </w:rPr>
                <w:t>OfS Evaluation Self-Assessment Tool</w:t>
              </w:r>
            </w:hyperlink>
          </w:p>
          <w:p w14:paraId="664AD963" w14:textId="77777777" w:rsidR="00FA6B23" w:rsidRPr="00C25316" w:rsidRDefault="00FA6B23" w:rsidP="00FA6B23">
            <w:pPr>
              <w:rPr>
                <w:rFonts w:ascii="Gill Sans MT" w:hAnsi="Gill Sans MT"/>
                <w:color w:val="000000" w:themeColor="text1"/>
                <w:sz w:val="20"/>
                <w:szCs w:val="20"/>
              </w:rPr>
            </w:pPr>
          </w:p>
          <w:p w14:paraId="554D9538" w14:textId="5A4C7CE8" w:rsidR="00C71B79" w:rsidRPr="00C25316" w:rsidRDefault="00FA6B23" w:rsidP="00FA6B23">
            <w:pPr>
              <w:rPr>
                <w:rFonts w:ascii="Gill Sans MT" w:hAnsi="Gill Sans MT"/>
                <w:color w:val="000000" w:themeColor="text1"/>
                <w:sz w:val="20"/>
                <w:szCs w:val="20"/>
              </w:rPr>
            </w:pPr>
            <w:r w:rsidRPr="00C25316">
              <w:rPr>
                <w:rFonts w:ascii="Gill Sans MT" w:hAnsi="Gill Sans MT"/>
                <w:color w:val="000000" w:themeColor="text1"/>
                <w:sz w:val="20"/>
                <w:szCs w:val="20"/>
              </w:rPr>
              <w:t xml:space="preserve">A </w:t>
            </w:r>
            <w:hyperlink r:id="rId20" w:history="1">
              <w:r w:rsidRPr="00FC67E5">
                <w:rPr>
                  <w:rStyle w:val="Hyperlink"/>
                  <w:rFonts w:ascii="Gill Sans MT" w:hAnsi="Gill Sans MT"/>
                  <w:kern w:val="2"/>
                  <w:sz w:val="20"/>
                  <w:szCs w:val="20"/>
                  <w14:ligatures w14:val="standardContextual"/>
                </w:rPr>
                <w:t>methods guide</w:t>
              </w:r>
            </w:hyperlink>
            <w:r w:rsidRPr="00C25316">
              <w:rPr>
                <w:rFonts w:ascii="Gill Sans MT" w:hAnsi="Gill Sans MT"/>
                <w:color w:val="000000" w:themeColor="text1"/>
                <w:sz w:val="20"/>
                <w:szCs w:val="20"/>
              </w:rPr>
              <w:t xml:space="preserve"> is in development on stakeholder/actor analysis methods and techniques</w:t>
            </w:r>
          </w:p>
        </w:tc>
      </w:tr>
      <w:tr w:rsidR="00C71B79" w:rsidRPr="00C25316" w14:paraId="37504C24" w14:textId="77777777" w:rsidTr="00715C2A">
        <w:tc>
          <w:tcPr>
            <w:tcW w:w="3256" w:type="dxa"/>
          </w:tcPr>
          <w:p w14:paraId="4EAAA193" w14:textId="010DC920" w:rsidR="00C71B79" w:rsidRDefault="00715C2A" w:rsidP="00947564">
            <w:pPr>
              <w:rPr>
                <w:rFonts w:ascii="Gill Sans MT" w:hAnsi="Gill Sans MT"/>
                <w:color w:val="000000" w:themeColor="text1"/>
                <w:sz w:val="20"/>
                <w:szCs w:val="20"/>
              </w:rPr>
            </w:pPr>
            <w:r w:rsidRPr="00C25316">
              <w:rPr>
                <w:rFonts w:ascii="Gill Sans MT" w:hAnsi="Gill Sans MT"/>
                <w:color w:val="000000" w:themeColor="text1"/>
                <w:sz w:val="20"/>
                <w:szCs w:val="20"/>
              </w:rPr>
              <w:t xml:space="preserve">Step 2) </w:t>
            </w:r>
            <w:r w:rsidR="00355BBA">
              <w:rPr>
                <w:rFonts w:ascii="Gill Sans MT" w:hAnsi="Gill Sans MT"/>
                <w:color w:val="000000" w:themeColor="text1"/>
                <w:sz w:val="20"/>
                <w:szCs w:val="20"/>
              </w:rPr>
              <w:t>Resources</w:t>
            </w:r>
            <w:r w:rsidR="00B52E99" w:rsidRPr="00C25316">
              <w:rPr>
                <w:rFonts w:ascii="Gill Sans MT" w:hAnsi="Gill Sans MT"/>
                <w:color w:val="000000" w:themeColor="text1"/>
                <w:sz w:val="20"/>
                <w:szCs w:val="20"/>
              </w:rPr>
              <w:t xml:space="preserve"> and capa</w:t>
            </w:r>
            <w:r w:rsidR="00917F01">
              <w:rPr>
                <w:rFonts w:ascii="Gill Sans MT" w:hAnsi="Gill Sans MT"/>
                <w:color w:val="000000" w:themeColor="text1"/>
                <w:sz w:val="20"/>
                <w:szCs w:val="20"/>
              </w:rPr>
              <w:t>bili</w:t>
            </w:r>
            <w:r w:rsidR="00B52E99" w:rsidRPr="00C25316">
              <w:rPr>
                <w:rFonts w:ascii="Gill Sans MT" w:hAnsi="Gill Sans MT"/>
                <w:color w:val="000000" w:themeColor="text1"/>
                <w:sz w:val="20"/>
                <w:szCs w:val="20"/>
              </w:rPr>
              <w:t>ty to undertake evaluation</w:t>
            </w:r>
          </w:p>
          <w:p w14:paraId="5ECE62DF" w14:textId="77777777" w:rsidR="00F347E4" w:rsidRDefault="00F347E4" w:rsidP="00947564">
            <w:pPr>
              <w:rPr>
                <w:rFonts w:ascii="Gill Sans MT" w:hAnsi="Gill Sans MT"/>
                <w:color w:val="000000" w:themeColor="text1"/>
                <w:sz w:val="20"/>
                <w:szCs w:val="20"/>
              </w:rPr>
            </w:pPr>
          </w:p>
          <w:p w14:paraId="042128CE" w14:textId="3C2E29DC" w:rsidR="000E0C1F" w:rsidRPr="00C25316" w:rsidRDefault="009E0937" w:rsidP="00C665B5">
            <w:pPr>
              <w:pStyle w:val="Body"/>
              <w:rPr>
                <w:color w:val="000000" w:themeColor="text1"/>
                <w:szCs w:val="20"/>
              </w:rPr>
            </w:pPr>
            <w:r>
              <w:t xml:space="preserve">Rationale: </w:t>
            </w:r>
            <w:r w:rsidR="000E0C1F" w:rsidRPr="00981F7F">
              <w:t xml:space="preserve">Evaluation is more likely to be useful if users </w:t>
            </w:r>
            <w:r w:rsidR="00EA73F9">
              <w:t xml:space="preserve">understand </w:t>
            </w:r>
            <w:r w:rsidR="000E0C1F" w:rsidRPr="00981F7F">
              <w:t xml:space="preserve">about evaluation </w:t>
            </w:r>
            <w:r w:rsidR="004543B8">
              <w:t>and build expertise, as well as</w:t>
            </w:r>
            <w:r w:rsidR="000E0C1F" w:rsidRPr="00981F7F">
              <w:t xml:space="preserve"> feel</w:t>
            </w:r>
            <w:r w:rsidR="004543B8">
              <w:t>ing</w:t>
            </w:r>
            <w:r w:rsidR="000E0C1F" w:rsidRPr="00981F7F">
              <w:t xml:space="preserve"> ownership</w:t>
            </w:r>
            <w:r w:rsidR="004543B8">
              <w:t xml:space="preserve"> of the evaluation</w:t>
            </w:r>
            <w:r w:rsidR="000E0C1F" w:rsidRPr="00981F7F">
              <w:t>.</w:t>
            </w:r>
            <w:r w:rsidR="004268FE">
              <w:t xml:space="preserve"> </w:t>
            </w:r>
          </w:p>
        </w:tc>
        <w:tc>
          <w:tcPr>
            <w:tcW w:w="4111" w:type="dxa"/>
          </w:tcPr>
          <w:p w14:paraId="0DB481A9" w14:textId="16352F63" w:rsidR="00FD017D" w:rsidRDefault="00FD017D" w:rsidP="001C5A91">
            <w:pPr>
              <w:pStyle w:val="ListParagraph"/>
              <w:numPr>
                <w:ilvl w:val="0"/>
                <w:numId w:val="5"/>
              </w:numPr>
            </w:pPr>
            <w:r w:rsidRPr="00C25316">
              <w:t>Determi</w:t>
            </w:r>
            <w:r>
              <w:t>ne</w:t>
            </w:r>
            <w:r w:rsidRPr="00C25316">
              <w:t xml:space="preserve"> the level of interest and capacity within the </w:t>
            </w:r>
            <w:r w:rsidR="00DE28A0">
              <w:t xml:space="preserve">praxis </w:t>
            </w:r>
            <w:r w:rsidRPr="00C25316">
              <w:t>team and organisation</w:t>
            </w:r>
            <w:r w:rsidR="00DE28A0">
              <w:t xml:space="preserve">. </w:t>
            </w:r>
          </w:p>
          <w:p w14:paraId="20443F12" w14:textId="61EAA5FB" w:rsidR="0099587E" w:rsidRPr="00C25316" w:rsidRDefault="00AB52C2" w:rsidP="001C5A91">
            <w:pPr>
              <w:pStyle w:val="ListParagraph"/>
              <w:numPr>
                <w:ilvl w:val="0"/>
                <w:numId w:val="5"/>
              </w:numPr>
            </w:pPr>
            <w:r w:rsidRPr="00C25316">
              <w:t xml:space="preserve">Identify </w:t>
            </w:r>
            <w:r>
              <w:t>existing expertise</w:t>
            </w:r>
            <w:r w:rsidRPr="00C25316">
              <w:t xml:space="preserve"> for evaluation</w:t>
            </w:r>
            <w:r>
              <w:t xml:space="preserve"> and</w:t>
            </w:r>
            <w:r w:rsidRPr="00C25316">
              <w:t xml:space="preserve"> </w:t>
            </w:r>
            <w:r w:rsidR="0016717A">
              <w:t>b</w:t>
            </w:r>
            <w:r w:rsidR="0099587E" w:rsidRPr="00C25316">
              <w:t>uild</w:t>
            </w:r>
            <w:r w:rsidR="0099587E">
              <w:t xml:space="preserve"> </w:t>
            </w:r>
            <w:r w:rsidR="0099587E" w:rsidRPr="00C25316">
              <w:t xml:space="preserve">people’s skills and </w:t>
            </w:r>
            <w:r w:rsidR="0099587E">
              <w:t xml:space="preserve">capability </w:t>
            </w:r>
            <w:r w:rsidR="0099587E" w:rsidRPr="00C25316">
              <w:t>to engage in evaluatio</w:t>
            </w:r>
            <w:r w:rsidR="0099587E">
              <w:t xml:space="preserve">n. </w:t>
            </w:r>
          </w:p>
          <w:p w14:paraId="6689F346" w14:textId="7041AE16" w:rsidR="00715C2A" w:rsidRPr="00C25316" w:rsidRDefault="00715C2A" w:rsidP="001C5A91">
            <w:pPr>
              <w:pStyle w:val="ListParagraph"/>
              <w:numPr>
                <w:ilvl w:val="0"/>
                <w:numId w:val="5"/>
              </w:numPr>
            </w:pPr>
            <w:r w:rsidRPr="00C25316">
              <w:t>Facilitat</w:t>
            </w:r>
            <w:r w:rsidR="00EB0C00">
              <w:t>e</w:t>
            </w:r>
            <w:r w:rsidRPr="00C25316">
              <w:t xml:space="preserve"> the praxis team to identify their expectations and norms for evaluation</w:t>
            </w:r>
            <w:r w:rsidR="007076BD">
              <w:t xml:space="preserve">. </w:t>
            </w:r>
          </w:p>
          <w:p w14:paraId="1070010B" w14:textId="10EE2618" w:rsidR="0099587E" w:rsidRPr="00AB52C2" w:rsidRDefault="0099587E" w:rsidP="001C5A91">
            <w:pPr>
              <w:pStyle w:val="ListParagraph"/>
              <w:numPr>
                <w:ilvl w:val="0"/>
                <w:numId w:val="5"/>
              </w:numPr>
            </w:pPr>
            <w:r w:rsidRPr="00C25316">
              <w:t xml:space="preserve">Identify </w:t>
            </w:r>
            <w:hyperlink r:id="rId21" w:history="1">
              <w:r w:rsidRPr="00066645">
                <w:rPr>
                  <w:rStyle w:val="Hyperlink"/>
                </w:rPr>
                <w:t>standards</w:t>
              </w:r>
            </w:hyperlink>
            <w:r w:rsidRPr="00C25316">
              <w:t xml:space="preserve"> within which evaluation will be conducted. </w:t>
            </w:r>
          </w:p>
          <w:p w14:paraId="0727076F" w14:textId="235045A2" w:rsidR="00C71B79" w:rsidRPr="00C25316" w:rsidRDefault="00C71B79" w:rsidP="007076BD"/>
        </w:tc>
        <w:tc>
          <w:tcPr>
            <w:tcW w:w="4111" w:type="dxa"/>
          </w:tcPr>
          <w:p w14:paraId="67FD8497" w14:textId="77777777" w:rsidR="009333C1" w:rsidRPr="00AD3692" w:rsidRDefault="009333C1" w:rsidP="001C5A91">
            <w:pPr>
              <w:pStyle w:val="ListParagraph"/>
              <w:numPr>
                <w:ilvl w:val="0"/>
                <w:numId w:val="8"/>
              </w:numPr>
            </w:pPr>
            <w:r w:rsidRPr="00C25316">
              <w:t xml:space="preserve">Creating the climate for evaluation </w:t>
            </w:r>
            <w:r>
              <w:t>doesn’t only</w:t>
            </w:r>
            <w:r w:rsidRPr="00C25316">
              <w:t xml:space="preserve"> mean identifying an evaluat</w:t>
            </w:r>
            <w:r>
              <w:t>or</w:t>
            </w:r>
            <w:r w:rsidRPr="00C25316">
              <w:t xml:space="preserve"> and agreeing an evaluation that practitioners want to be part of, but also helping them to </w:t>
            </w:r>
            <w:r>
              <w:t xml:space="preserve">develop evaluation expertise. </w:t>
            </w:r>
          </w:p>
          <w:p w14:paraId="02D04D39" w14:textId="772D2F12" w:rsidR="008250A3" w:rsidRPr="00515CEA" w:rsidRDefault="00693D43" w:rsidP="001C5A91">
            <w:pPr>
              <w:pStyle w:val="ListParagraph"/>
              <w:numPr>
                <w:ilvl w:val="0"/>
                <w:numId w:val="8"/>
              </w:numPr>
            </w:pPr>
            <w:r>
              <w:t xml:space="preserve">The praxis team relies on </w:t>
            </w:r>
            <w:r w:rsidR="00515CEA">
              <w:t>e</w:t>
            </w:r>
            <w:r w:rsidR="008250A3" w:rsidRPr="00515CEA">
              <w:t xml:space="preserve">stablishing trust, </w:t>
            </w:r>
            <w:proofErr w:type="gramStart"/>
            <w:r w:rsidR="008250A3" w:rsidRPr="00515CEA">
              <w:t>commitment</w:t>
            </w:r>
            <w:proofErr w:type="gramEnd"/>
            <w:r w:rsidR="008250A3" w:rsidRPr="00515CEA">
              <w:t xml:space="preserve"> and willingness to work together to evaluat</w:t>
            </w:r>
            <w:r w:rsidR="009333C1">
              <w:t>e</w:t>
            </w:r>
            <w:r w:rsidR="008250A3" w:rsidRPr="00515CEA">
              <w:t xml:space="preserve"> and mitigate any issues affecting the rigour and credibility of the evaluation.</w:t>
            </w:r>
          </w:p>
          <w:p w14:paraId="79394EE2" w14:textId="1E2D5E6A" w:rsidR="00292B34" w:rsidRPr="00C25316" w:rsidRDefault="009268A9" w:rsidP="001C5A91">
            <w:pPr>
              <w:pStyle w:val="ListParagraph"/>
              <w:numPr>
                <w:ilvl w:val="0"/>
                <w:numId w:val="8"/>
              </w:numPr>
            </w:pPr>
            <w:r>
              <w:t>G</w:t>
            </w:r>
            <w:r w:rsidR="00292B34" w:rsidRPr="00C25316">
              <w:t>etting clarity on perspectives of different people and arriving at consensus can be difficult</w:t>
            </w:r>
            <w:r>
              <w:t xml:space="preserve"> in</w:t>
            </w:r>
            <w:r w:rsidRPr="00C25316">
              <w:t xml:space="preserve"> multi-disciplinary teams </w:t>
            </w:r>
            <w:r w:rsidR="00680363">
              <w:t xml:space="preserve">as </w:t>
            </w:r>
            <w:r w:rsidRPr="00C25316">
              <w:t>different people have different views on how the world works</w:t>
            </w:r>
            <w:r w:rsidR="00680363">
              <w:t xml:space="preserve">. </w:t>
            </w:r>
          </w:p>
          <w:p w14:paraId="5B41D103" w14:textId="7D61FEF4" w:rsidR="00C71B79" w:rsidRDefault="00122FB1" w:rsidP="001C5A91">
            <w:pPr>
              <w:pStyle w:val="ListParagraph"/>
              <w:numPr>
                <w:ilvl w:val="0"/>
                <w:numId w:val="8"/>
              </w:numPr>
            </w:pPr>
            <w:r>
              <w:t>S</w:t>
            </w:r>
            <w:r w:rsidR="00292B34" w:rsidRPr="00C25316">
              <w:t xml:space="preserve">ustaining interest and skills in evaluation can be difficult if there are competing priorities </w:t>
            </w:r>
            <w:r w:rsidR="00DC3EB1">
              <w:t>or changes in the team (</w:t>
            </w:r>
            <w:r w:rsidR="0020251D">
              <w:t xml:space="preserve">may need to </w:t>
            </w:r>
            <w:r w:rsidR="00292B34" w:rsidRPr="00C25316">
              <w:t>involve new evaluation users over time</w:t>
            </w:r>
            <w:r w:rsidR="0020251D">
              <w:t>)</w:t>
            </w:r>
            <w:r w:rsidR="00292B34" w:rsidRPr="00C25316">
              <w:t>.</w:t>
            </w:r>
          </w:p>
          <w:p w14:paraId="7F54E152" w14:textId="559187F8" w:rsidR="007076BD" w:rsidRPr="00C25316" w:rsidRDefault="007076BD" w:rsidP="001C5A91">
            <w:pPr>
              <w:pStyle w:val="ListParagraph"/>
              <w:numPr>
                <w:ilvl w:val="0"/>
                <w:numId w:val="8"/>
              </w:numPr>
            </w:pPr>
            <w:r w:rsidRPr="00C25316">
              <w:t xml:space="preserve">Evaluators </w:t>
            </w:r>
            <w:r w:rsidR="006C6412">
              <w:t xml:space="preserve">who are </w:t>
            </w:r>
            <w:r w:rsidRPr="00C25316">
              <w:t xml:space="preserve">outside of project delivery </w:t>
            </w:r>
            <w:r w:rsidR="006C6412">
              <w:t xml:space="preserve">need to </w:t>
            </w:r>
            <w:r w:rsidRPr="00C25316">
              <w:t xml:space="preserve">develop sufficient </w:t>
            </w:r>
            <w:r w:rsidRPr="00C25316">
              <w:lastRenderedPageBreak/>
              <w:t xml:space="preserve">knowledge of </w:t>
            </w:r>
            <w:r w:rsidR="00BC382B">
              <w:t xml:space="preserve">the </w:t>
            </w:r>
            <w:r w:rsidR="006C6412">
              <w:t>programme</w:t>
            </w:r>
            <w:r w:rsidRPr="00C25316">
              <w:t xml:space="preserve"> to be credible with key stakeholders </w:t>
            </w:r>
            <w:r w:rsidR="00A769A1">
              <w:t xml:space="preserve">and </w:t>
            </w:r>
            <w:r w:rsidRPr="00C25316">
              <w:t>to be able to lead discussions on substantive issues.</w:t>
            </w:r>
          </w:p>
        </w:tc>
        <w:tc>
          <w:tcPr>
            <w:tcW w:w="3968" w:type="dxa"/>
          </w:tcPr>
          <w:p w14:paraId="5EC28975" w14:textId="1FB0CAF8" w:rsidR="00292B34" w:rsidRPr="00C25316" w:rsidRDefault="00292B34" w:rsidP="00292B34">
            <w:pPr>
              <w:rPr>
                <w:rFonts w:ascii="Gill Sans MT" w:hAnsi="Gill Sans MT"/>
                <w:color w:val="000000" w:themeColor="text1"/>
                <w:sz w:val="20"/>
                <w:szCs w:val="20"/>
              </w:rPr>
            </w:pPr>
            <w:r w:rsidRPr="00C25316">
              <w:rPr>
                <w:rFonts w:ascii="Gill Sans MT" w:hAnsi="Gill Sans MT"/>
                <w:color w:val="000000" w:themeColor="text1"/>
                <w:sz w:val="20"/>
                <w:szCs w:val="20"/>
              </w:rPr>
              <w:lastRenderedPageBreak/>
              <w:t xml:space="preserve">The NERUPI evaluation </w:t>
            </w:r>
            <w:hyperlink r:id="rId22" w:history="1">
              <w:r w:rsidRPr="002E30C2">
                <w:rPr>
                  <w:rStyle w:val="Hyperlink"/>
                  <w:rFonts w:ascii="Gill Sans MT" w:hAnsi="Gill Sans MT"/>
                  <w:kern w:val="2"/>
                  <w:sz w:val="20"/>
                  <w:szCs w:val="20"/>
                  <w14:ligatures w14:val="standardContextual"/>
                </w:rPr>
                <w:t>toolkit series</w:t>
              </w:r>
            </w:hyperlink>
            <w:r w:rsidRPr="00C25316">
              <w:rPr>
                <w:rFonts w:ascii="Gill Sans MT" w:hAnsi="Gill Sans MT"/>
                <w:color w:val="000000" w:themeColor="text1"/>
                <w:sz w:val="20"/>
                <w:szCs w:val="20"/>
              </w:rPr>
              <w:t xml:space="preserve"> can be used for ongoing professional development, to build on the expertise of evaluators and those supporting evaluations’ (new to evaluation)</w:t>
            </w:r>
          </w:p>
          <w:p w14:paraId="6793ACAA" w14:textId="77777777" w:rsidR="00292B34" w:rsidRDefault="00292B34" w:rsidP="00292B34">
            <w:pPr>
              <w:rPr>
                <w:rFonts w:ascii="Gill Sans MT" w:hAnsi="Gill Sans MT"/>
                <w:color w:val="000000" w:themeColor="text1"/>
                <w:sz w:val="20"/>
                <w:szCs w:val="20"/>
              </w:rPr>
            </w:pPr>
          </w:p>
          <w:p w14:paraId="3696407C" w14:textId="59424E31" w:rsidR="00B52B22" w:rsidRPr="00C25316" w:rsidRDefault="00B52B22" w:rsidP="00B52B22">
            <w:pPr>
              <w:rPr>
                <w:rFonts w:ascii="Gill Sans MT" w:hAnsi="Gill Sans MT"/>
                <w:color w:val="000000" w:themeColor="text1"/>
                <w:sz w:val="20"/>
                <w:szCs w:val="20"/>
              </w:rPr>
            </w:pPr>
            <w:r w:rsidRPr="00C25316">
              <w:rPr>
                <w:rFonts w:ascii="Gill Sans MT" w:hAnsi="Gill Sans MT"/>
                <w:color w:val="000000" w:themeColor="text1"/>
                <w:sz w:val="20"/>
                <w:szCs w:val="20"/>
              </w:rPr>
              <w:t xml:space="preserve">NERUPI materials on standards of evidence reviews the types and gives ideas for </w:t>
            </w:r>
            <w:hyperlink r:id="rId23" w:history="1">
              <w:r w:rsidRPr="00F76033">
                <w:rPr>
                  <w:rStyle w:val="Hyperlink"/>
                  <w:rFonts w:ascii="Gill Sans MT" w:hAnsi="Gill Sans MT"/>
                  <w:kern w:val="2"/>
                  <w:sz w:val="20"/>
                  <w:szCs w:val="20"/>
                  <w14:ligatures w14:val="standardContextual"/>
                </w:rPr>
                <w:t>strengthening different types of evidence</w:t>
              </w:r>
            </w:hyperlink>
          </w:p>
          <w:p w14:paraId="1203CB2D" w14:textId="77777777" w:rsidR="00B52B22" w:rsidRPr="00C25316" w:rsidRDefault="00B52B22" w:rsidP="00292B34">
            <w:pPr>
              <w:rPr>
                <w:rFonts w:ascii="Gill Sans MT" w:hAnsi="Gill Sans MT"/>
                <w:color w:val="000000" w:themeColor="text1"/>
                <w:sz w:val="20"/>
                <w:szCs w:val="20"/>
              </w:rPr>
            </w:pPr>
          </w:p>
          <w:p w14:paraId="7655093C" w14:textId="5D9CE896" w:rsidR="00C71B79" w:rsidRPr="00C25316" w:rsidRDefault="00292B34" w:rsidP="00292B34">
            <w:pPr>
              <w:rPr>
                <w:rFonts w:ascii="Gill Sans MT" w:hAnsi="Gill Sans MT"/>
                <w:color w:val="000000" w:themeColor="text1"/>
                <w:sz w:val="20"/>
                <w:szCs w:val="20"/>
              </w:rPr>
            </w:pPr>
            <w:r w:rsidRPr="00C25316">
              <w:rPr>
                <w:rFonts w:ascii="Gill Sans MT" w:hAnsi="Gill Sans MT"/>
                <w:color w:val="000000" w:themeColor="text1"/>
                <w:sz w:val="20"/>
                <w:szCs w:val="20"/>
              </w:rPr>
              <w:t>A resource list to key sources on evaluation and professional practice guidelines for evaluation is in development</w:t>
            </w:r>
          </w:p>
        </w:tc>
      </w:tr>
      <w:tr w:rsidR="00694377" w:rsidRPr="00C25316" w14:paraId="22DCC43D" w14:textId="77777777" w:rsidTr="00715C2A">
        <w:tc>
          <w:tcPr>
            <w:tcW w:w="3256" w:type="dxa"/>
          </w:tcPr>
          <w:p w14:paraId="3E328110" w14:textId="2E8833C0" w:rsidR="002673BB" w:rsidRDefault="00322342" w:rsidP="002673BB">
            <w:pPr>
              <w:rPr>
                <w:rFonts w:ascii="Gill Sans MT" w:hAnsi="Gill Sans MT"/>
                <w:color w:val="000000" w:themeColor="text1"/>
                <w:sz w:val="20"/>
                <w:szCs w:val="20"/>
              </w:rPr>
            </w:pPr>
            <w:r w:rsidRPr="00C25316">
              <w:rPr>
                <w:rFonts w:ascii="Gill Sans MT" w:hAnsi="Gill Sans MT"/>
                <w:color w:val="000000" w:themeColor="text1"/>
                <w:sz w:val="20"/>
                <w:szCs w:val="20"/>
              </w:rPr>
              <w:t xml:space="preserve">Step 3) Identify </w:t>
            </w:r>
            <w:r w:rsidR="007B72E1">
              <w:rPr>
                <w:rFonts w:ascii="Gill Sans MT" w:hAnsi="Gill Sans MT"/>
                <w:color w:val="000000" w:themeColor="text1"/>
                <w:sz w:val="20"/>
                <w:szCs w:val="20"/>
              </w:rPr>
              <w:t xml:space="preserve">and assess </w:t>
            </w:r>
            <w:r w:rsidRPr="00C25316">
              <w:rPr>
                <w:rFonts w:ascii="Gill Sans MT" w:hAnsi="Gill Sans MT"/>
                <w:color w:val="000000" w:themeColor="text1"/>
                <w:sz w:val="20"/>
                <w:szCs w:val="20"/>
              </w:rPr>
              <w:t xml:space="preserve">the </w:t>
            </w:r>
            <w:r w:rsidR="00190D80">
              <w:rPr>
                <w:rFonts w:ascii="Gill Sans MT" w:hAnsi="Gill Sans MT"/>
                <w:color w:val="000000" w:themeColor="text1"/>
                <w:sz w:val="20"/>
                <w:szCs w:val="20"/>
              </w:rPr>
              <w:t xml:space="preserve">programme </w:t>
            </w:r>
            <w:r w:rsidRPr="00C25316">
              <w:rPr>
                <w:rFonts w:ascii="Gill Sans MT" w:hAnsi="Gill Sans MT"/>
                <w:color w:val="000000" w:themeColor="text1"/>
                <w:sz w:val="20"/>
                <w:szCs w:val="20"/>
              </w:rPr>
              <w:t>theory of change (T</w:t>
            </w:r>
            <w:r w:rsidR="007B72E1">
              <w:rPr>
                <w:rFonts w:ascii="Gill Sans MT" w:hAnsi="Gill Sans MT"/>
                <w:color w:val="000000" w:themeColor="text1"/>
                <w:sz w:val="20"/>
                <w:szCs w:val="20"/>
              </w:rPr>
              <w:t>O</w:t>
            </w:r>
            <w:r w:rsidRPr="00C25316">
              <w:rPr>
                <w:rFonts w:ascii="Gill Sans MT" w:hAnsi="Gill Sans MT"/>
                <w:color w:val="000000" w:themeColor="text1"/>
                <w:sz w:val="20"/>
                <w:szCs w:val="20"/>
              </w:rPr>
              <w:t>C)</w:t>
            </w:r>
          </w:p>
          <w:p w14:paraId="76441F90" w14:textId="77777777" w:rsidR="00F347E4" w:rsidRDefault="00F347E4" w:rsidP="002673BB">
            <w:pPr>
              <w:rPr>
                <w:rFonts w:ascii="Gill Sans MT" w:hAnsi="Gill Sans MT"/>
                <w:color w:val="000000" w:themeColor="text1"/>
                <w:sz w:val="20"/>
                <w:szCs w:val="20"/>
              </w:rPr>
            </w:pPr>
          </w:p>
          <w:p w14:paraId="1C18AE29" w14:textId="47964181" w:rsidR="002673BB" w:rsidRPr="00981F7F" w:rsidRDefault="009E0937" w:rsidP="00C665B5">
            <w:pPr>
              <w:pStyle w:val="Body"/>
            </w:pPr>
            <w:r>
              <w:t xml:space="preserve">Rationale: </w:t>
            </w:r>
            <w:r w:rsidR="002673BB" w:rsidRPr="00981F7F">
              <w:t xml:space="preserve">The </w:t>
            </w:r>
            <w:r w:rsidR="0057412C">
              <w:t xml:space="preserve">programme </w:t>
            </w:r>
            <w:r w:rsidR="002673BB" w:rsidRPr="00981F7F">
              <w:t>T</w:t>
            </w:r>
            <w:r w:rsidR="007B72E1">
              <w:t>O</w:t>
            </w:r>
            <w:r w:rsidR="002673BB" w:rsidRPr="00981F7F">
              <w:t>C provides a</w:t>
            </w:r>
            <w:r>
              <w:t xml:space="preserve"> </w:t>
            </w:r>
            <w:r w:rsidR="002673BB" w:rsidRPr="00981F7F">
              <w:t>framework for evaluation by setting out the intervention model which describes how the intended benefits, outcomes and impacts will be produced.</w:t>
            </w:r>
          </w:p>
          <w:p w14:paraId="1FD8E713" w14:textId="7999EDA7" w:rsidR="002673BB" w:rsidRPr="00C25316" w:rsidRDefault="00A67510" w:rsidP="00322342">
            <w:pPr>
              <w:rPr>
                <w:rFonts w:ascii="Gill Sans MT" w:hAnsi="Gill Sans MT"/>
                <w:color w:val="000000" w:themeColor="text1"/>
                <w:sz w:val="20"/>
                <w:szCs w:val="20"/>
              </w:rPr>
            </w:pPr>
            <w:r>
              <w:rPr>
                <w:rFonts w:ascii="Gill Sans MT" w:hAnsi="Gill Sans MT"/>
                <w:color w:val="000000" w:themeColor="text1"/>
                <w:sz w:val="20"/>
                <w:szCs w:val="20"/>
              </w:rPr>
              <w:t xml:space="preserve">This step also informs the </w:t>
            </w:r>
            <w:r w:rsidR="00934F0F">
              <w:rPr>
                <w:rFonts w:ascii="Gill Sans MT" w:hAnsi="Gill Sans MT"/>
                <w:color w:val="000000" w:themeColor="text1"/>
                <w:sz w:val="20"/>
                <w:szCs w:val="20"/>
              </w:rPr>
              <w:t>p-p-c-</w:t>
            </w:r>
            <w:r w:rsidR="007B72E1">
              <w:rPr>
                <w:rFonts w:ascii="Gill Sans MT" w:hAnsi="Gill Sans MT"/>
                <w:color w:val="000000" w:themeColor="text1"/>
                <w:sz w:val="20"/>
                <w:szCs w:val="20"/>
              </w:rPr>
              <w:t>c</w:t>
            </w:r>
            <w:r w:rsidR="00934F0F">
              <w:rPr>
                <w:rFonts w:ascii="Gill Sans MT" w:hAnsi="Gill Sans MT"/>
                <w:color w:val="000000" w:themeColor="text1"/>
                <w:sz w:val="20"/>
                <w:szCs w:val="20"/>
              </w:rPr>
              <w:t xml:space="preserve"> framework</w:t>
            </w:r>
            <w:r w:rsidR="002C4BD8">
              <w:rPr>
                <w:rFonts w:ascii="Gill Sans MT" w:hAnsi="Gill Sans MT"/>
                <w:color w:val="000000" w:themeColor="text1"/>
                <w:sz w:val="20"/>
                <w:szCs w:val="20"/>
              </w:rPr>
              <w:t xml:space="preserve">. </w:t>
            </w:r>
          </w:p>
        </w:tc>
        <w:tc>
          <w:tcPr>
            <w:tcW w:w="4111" w:type="dxa"/>
          </w:tcPr>
          <w:p w14:paraId="71C52461" w14:textId="0C2CB18E" w:rsidR="00EE3400" w:rsidRPr="00C25316" w:rsidRDefault="0030744E" w:rsidP="001C5A91">
            <w:pPr>
              <w:pStyle w:val="ListParagraph"/>
              <w:numPr>
                <w:ilvl w:val="0"/>
                <w:numId w:val="6"/>
              </w:numPr>
            </w:pPr>
            <w:r w:rsidRPr="00C25316">
              <w:t>Creat</w:t>
            </w:r>
            <w:r>
              <w:t>e</w:t>
            </w:r>
            <w:r w:rsidRPr="00C25316">
              <w:t xml:space="preserve"> a meaningful presentation of the </w:t>
            </w:r>
            <w:r>
              <w:t>T</w:t>
            </w:r>
            <w:r w:rsidR="007B72E1">
              <w:t>O</w:t>
            </w:r>
            <w:r>
              <w:t>C</w:t>
            </w:r>
            <w:r w:rsidR="00EE3400" w:rsidRPr="00C25316">
              <w:t xml:space="preserve"> in which the connections are clear, logical, sequential, </w:t>
            </w:r>
            <w:proofErr w:type="gramStart"/>
            <w:r w:rsidR="00EE3400" w:rsidRPr="00C25316">
              <w:t>plausible</w:t>
            </w:r>
            <w:proofErr w:type="gramEnd"/>
            <w:r w:rsidR="002C4BD8">
              <w:t xml:space="preserve"> </w:t>
            </w:r>
            <w:r w:rsidR="00EE3400" w:rsidRPr="00C25316">
              <w:t xml:space="preserve">and testable. </w:t>
            </w:r>
          </w:p>
          <w:p w14:paraId="331188FC" w14:textId="1ED1FAF6" w:rsidR="00EE3400" w:rsidRPr="00C25316" w:rsidRDefault="00565697" w:rsidP="001C5A91">
            <w:pPr>
              <w:pStyle w:val="ListParagraph"/>
              <w:numPr>
                <w:ilvl w:val="0"/>
                <w:numId w:val="6"/>
              </w:numPr>
            </w:pPr>
            <w:r>
              <w:t xml:space="preserve">Specify the </w:t>
            </w:r>
            <w:r w:rsidR="00EE3400" w:rsidRPr="00C25316">
              <w:t>processes and mechanisms underl</w:t>
            </w:r>
            <w:r w:rsidR="002673BB">
              <w:t>yin</w:t>
            </w:r>
            <w:r w:rsidR="00EE3400" w:rsidRPr="00C25316">
              <w:t>g the T</w:t>
            </w:r>
            <w:r w:rsidR="007B72E1">
              <w:t>O</w:t>
            </w:r>
            <w:r w:rsidR="00EE3400" w:rsidRPr="00C25316">
              <w:t>C</w:t>
            </w:r>
            <w:r>
              <w:t xml:space="preserve"> (i.e. </w:t>
            </w:r>
            <w:r w:rsidR="00EE3400" w:rsidRPr="00C25316">
              <w:t>what’s needed to make change happen</w:t>
            </w:r>
            <w:r>
              <w:t>)</w:t>
            </w:r>
            <w:r w:rsidR="00EE3400" w:rsidRPr="00C25316">
              <w:t>.</w:t>
            </w:r>
          </w:p>
          <w:p w14:paraId="42C10D2E" w14:textId="29D7C11B" w:rsidR="00EE3400" w:rsidRPr="00C25316" w:rsidRDefault="00EE3400" w:rsidP="001C5A91">
            <w:pPr>
              <w:pStyle w:val="ListParagraph"/>
              <w:numPr>
                <w:ilvl w:val="0"/>
                <w:numId w:val="6"/>
              </w:numPr>
            </w:pPr>
            <w:r w:rsidRPr="00C25316">
              <w:t>Review the evaluability of the T</w:t>
            </w:r>
            <w:r w:rsidR="007B72E1">
              <w:t>O</w:t>
            </w:r>
            <w:r w:rsidRPr="00C25316">
              <w:t>C</w:t>
            </w:r>
            <w:r w:rsidR="00433934">
              <w:t xml:space="preserve"> </w:t>
            </w:r>
            <w:r w:rsidR="00D023FF">
              <w:t>and draw out the implications for the p-p-c</w:t>
            </w:r>
            <w:r w:rsidR="007B72E1">
              <w:t>-c</w:t>
            </w:r>
            <w:r w:rsidR="00D023FF">
              <w:t xml:space="preserve"> framework</w:t>
            </w:r>
            <w:r w:rsidR="00801129">
              <w:t xml:space="preserve"> (</w:t>
            </w:r>
            <w:r w:rsidRPr="00C25316">
              <w:t xml:space="preserve">might also involve deciding which </w:t>
            </w:r>
            <w:r w:rsidR="00801129">
              <w:t>parts</w:t>
            </w:r>
            <w:r w:rsidRPr="00C25316">
              <w:t xml:space="preserve"> are the priority for evaluation</w:t>
            </w:r>
            <w:r w:rsidR="00433934">
              <w:t>)</w:t>
            </w:r>
            <w:r w:rsidRPr="00C25316">
              <w:t xml:space="preserve">. </w:t>
            </w:r>
          </w:p>
          <w:p w14:paraId="199A989D" w14:textId="140DE72B" w:rsidR="00694377" w:rsidRDefault="00EE3400" w:rsidP="001C5A91">
            <w:pPr>
              <w:pStyle w:val="ListParagraph"/>
              <w:numPr>
                <w:ilvl w:val="0"/>
                <w:numId w:val="6"/>
              </w:numPr>
            </w:pPr>
            <w:r w:rsidRPr="00C25316">
              <w:t>Generat</w:t>
            </w:r>
            <w:r w:rsidR="00433934">
              <w:t>e</w:t>
            </w:r>
            <w:r w:rsidRPr="00C25316">
              <w:t xml:space="preserve"> shared understanding</w:t>
            </w:r>
            <w:r w:rsidR="00433934">
              <w:t xml:space="preserve"> within the praxis team</w:t>
            </w:r>
            <w:r w:rsidRPr="00C25316">
              <w:t xml:space="preserve"> around the implications of the T</w:t>
            </w:r>
            <w:r w:rsidR="007B72E1">
              <w:t>O</w:t>
            </w:r>
            <w:r w:rsidRPr="00C25316">
              <w:t>C</w:t>
            </w:r>
            <w:r w:rsidR="00433934">
              <w:t xml:space="preserve"> for evaluation</w:t>
            </w:r>
            <w:r w:rsidRPr="00C25316">
              <w:t>.</w:t>
            </w:r>
          </w:p>
          <w:p w14:paraId="5F2575CE" w14:textId="26D55FC7" w:rsidR="002210FF" w:rsidRPr="00C25316" w:rsidRDefault="002210FF" w:rsidP="001C5A91">
            <w:pPr>
              <w:pStyle w:val="ListParagraph"/>
              <w:numPr>
                <w:ilvl w:val="0"/>
                <w:numId w:val="6"/>
              </w:numPr>
            </w:pPr>
            <w:r w:rsidRPr="00C25316">
              <w:t xml:space="preserve">In complex programmes it’s helpful to have </w:t>
            </w:r>
            <w:r>
              <w:t xml:space="preserve">a </w:t>
            </w:r>
            <w:r w:rsidRPr="00C25316">
              <w:t>series of activity level T</w:t>
            </w:r>
            <w:r w:rsidR="007B72E1">
              <w:t>O</w:t>
            </w:r>
            <w:r w:rsidRPr="00C25316">
              <w:t>Cs feeding into the overall outcomes and impacts.</w:t>
            </w:r>
          </w:p>
        </w:tc>
        <w:tc>
          <w:tcPr>
            <w:tcW w:w="4111" w:type="dxa"/>
          </w:tcPr>
          <w:p w14:paraId="5FB04DD9" w14:textId="167AFE7C" w:rsidR="009B38AF" w:rsidRPr="00C25316" w:rsidRDefault="009B38AF" w:rsidP="001C5A91">
            <w:pPr>
              <w:pStyle w:val="ListParagraph"/>
              <w:numPr>
                <w:ilvl w:val="0"/>
                <w:numId w:val="6"/>
              </w:numPr>
            </w:pPr>
            <w:r w:rsidRPr="00C25316">
              <w:t>Expressing the T</w:t>
            </w:r>
            <w:r w:rsidR="007B72E1">
              <w:t>O</w:t>
            </w:r>
            <w:r w:rsidRPr="00C25316">
              <w:t xml:space="preserve">C in enough detail to make the programme theory clear can be challenging, especially where the activities are new </w:t>
            </w:r>
            <w:r w:rsidR="00997E26">
              <w:t>as</w:t>
            </w:r>
            <w:r w:rsidR="00997E26" w:rsidRPr="00C25316">
              <w:t xml:space="preserve"> </w:t>
            </w:r>
            <w:r w:rsidRPr="00C25316">
              <w:t xml:space="preserve">it can be hard to know what will happen in advance. The evaluator may need to </w:t>
            </w:r>
            <w:r w:rsidR="00997E26">
              <w:t>support</w:t>
            </w:r>
            <w:r w:rsidRPr="00C25316">
              <w:t xml:space="preserve"> evaluation users </w:t>
            </w:r>
            <w:r w:rsidR="00997E26">
              <w:t xml:space="preserve">in </w:t>
            </w:r>
            <w:r w:rsidRPr="00C25316">
              <w:t>understand</w:t>
            </w:r>
            <w:r w:rsidR="00997E26">
              <w:t>ing</w:t>
            </w:r>
            <w:r w:rsidRPr="00C25316">
              <w:t xml:space="preserve"> the purpose of the theory of change for evaluation and to consult with the programme team to tease out how the programme is expected to work.</w:t>
            </w:r>
          </w:p>
          <w:p w14:paraId="3B2538A0" w14:textId="5C8AF214" w:rsidR="00694377" w:rsidRPr="002210FF" w:rsidRDefault="009B38AF" w:rsidP="001C5A91">
            <w:pPr>
              <w:pStyle w:val="ListParagraph"/>
              <w:numPr>
                <w:ilvl w:val="0"/>
                <w:numId w:val="6"/>
              </w:numPr>
            </w:pPr>
            <w:r w:rsidRPr="00C25316">
              <w:t>There are different options for conceptualising the programme, and for capturing the different elements of the change process – e.g. a linear logic model; a map of systems and relationships; a series of inter-related models etc. The key issue is finding the presentation that is most helpful in supporting the primary intended users to understand and engage in the</w:t>
            </w:r>
            <w:r w:rsidR="007124B8">
              <w:t xml:space="preserve"> TOC. </w:t>
            </w:r>
            <w:r w:rsidRPr="00C25316">
              <w:t xml:space="preserve"> </w:t>
            </w:r>
          </w:p>
        </w:tc>
        <w:tc>
          <w:tcPr>
            <w:tcW w:w="3968" w:type="dxa"/>
          </w:tcPr>
          <w:p w14:paraId="01E4D23A" w14:textId="6CE688B6" w:rsidR="00694377" w:rsidRDefault="00694377" w:rsidP="00322342">
            <w:pPr>
              <w:rPr>
                <w:rFonts w:ascii="Gill Sans MT" w:hAnsi="Gill Sans MT"/>
                <w:color w:val="000000" w:themeColor="text1"/>
                <w:sz w:val="20"/>
                <w:szCs w:val="20"/>
              </w:rPr>
            </w:pPr>
            <w:r w:rsidRPr="00C25316">
              <w:rPr>
                <w:rFonts w:ascii="Gill Sans MT" w:hAnsi="Gill Sans MT"/>
                <w:color w:val="000000" w:themeColor="text1"/>
                <w:sz w:val="20"/>
                <w:szCs w:val="20"/>
              </w:rPr>
              <w:t xml:space="preserve">The NERUPI </w:t>
            </w:r>
            <w:r w:rsidR="00352F91">
              <w:rPr>
                <w:rFonts w:ascii="Gill Sans MT" w:hAnsi="Gill Sans MT"/>
                <w:color w:val="000000" w:themeColor="text1"/>
                <w:sz w:val="20"/>
                <w:szCs w:val="20"/>
              </w:rPr>
              <w:t xml:space="preserve">website </w:t>
            </w:r>
            <w:hyperlink r:id="rId24" w:history="1">
              <w:r w:rsidRPr="00E340BD">
                <w:rPr>
                  <w:rStyle w:val="Hyperlink"/>
                  <w:rFonts w:ascii="Gill Sans MT" w:hAnsi="Gill Sans MT"/>
                  <w:kern w:val="2"/>
                  <w:sz w:val="20"/>
                  <w:szCs w:val="20"/>
                  <w14:ligatures w14:val="standardContextual"/>
                </w:rPr>
                <w:t>theory of change</w:t>
              </w:r>
            </w:hyperlink>
            <w:r w:rsidRPr="00C25316">
              <w:rPr>
                <w:rFonts w:ascii="Gill Sans MT" w:hAnsi="Gill Sans MT"/>
                <w:color w:val="000000" w:themeColor="text1"/>
                <w:sz w:val="20"/>
                <w:szCs w:val="20"/>
              </w:rPr>
              <w:t xml:space="preserve"> materials include </w:t>
            </w:r>
            <w:r w:rsidR="00352F91">
              <w:rPr>
                <w:rFonts w:ascii="Gill Sans MT" w:hAnsi="Gill Sans MT"/>
                <w:color w:val="000000" w:themeColor="text1"/>
                <w:sz w:val="20"/>
                <w:szCs w:val="20"/>
              </w:rPr>
              <w:t xml:space="preserve">in-depth </w:t>
            </w:r>
            <w:r w:rsidRPr="00C25316">
              <w:rPr>
                <w:rFonts w:ascii="Gill Sans MT" w:hAnsi="Gill Sans MT"/>
                <w:color w:val="000000" w:themeColor="text1"/>
                <w:sz w:val="20"/>
                <w:szCs w:val="20"/>
              </w:rPr>
              <w:t>guidance</w:t>
            </w:r>
            <w:r w:rsidR="00956554">
              <w:rPr>
                <w:rFonts w:ascii="Gill Sans MT" w:hAnsi="Gill Sans MT"/>
                <w:color w:val="000000" w:themeColor="text1"/>
                <w:sz w:val="20"/>
                <w:szCs w:val="20"/>
              </w:rPr>
              <w:t xml:space="preserve">, </w:t>
            </w:r>
            <w:proofErr w:type="gramStart"/>
            <w:r w:rsidR="00956554">
              <w:rPr>
                <w:rFonts w:ascii="Gill Sans MT" w:hAnsi="Gill Sans MT"/>
                <w:color w:val="000000" w:themeColor="text1"/>
                <w:sz w:val="20"/>
                <w:szCs w:val="20"/>
              </w:rPr>
              <w:t>templates</w:t>
            </w:r>
            <w:proofErr w:type="gramEnd"/>
            <w:r w:rsidRPr="00C25316">
              <w:rPr>
                <w:rFonts w:ascii="Gill Sans MT" w:hAnsi="Gill Sans MT"/>
                <w:color w:val="000000" w:themeColor="text1"/>
                <w:sz w:val="20"/>
                <w:szCs w:val="20"/>
              </w:rPr>
              <w:t xml:space="preserve"> and a presentation</w:t>
            </w:r>
          </w:p>
          <w:p w14:paraId="54D9DFCB" w14:textId="77777777" w:rsidR="00F37842" w:rsidRDefault="00F37842" w:rsidP="00322342">
            <w:pPr>
              <w:rPr>
                <w:rFonts w:ascii="Gill Sans MT" w:hAnsi="Gill Sans MT"/>
                <w:color w:val="000000" w:themeColor="text1"/>
                <w:sz w:val="20"/>
                <w:szCs w:val="20"/>
              </w:rPr>
            </w:pPr>
          </w:p>
          <w:p w14:paraId="40B549B0" w14:textId="416816E9" w:rsidR="00F37842" w:rsidRPr="00C25316" w:rsidRDefault="006C148D" w:rsidP="00322342">
            <w:pPr>
              <w:rPr>
                <w:rFonts w:ascii="Gill Sans MT" w:hAnsi="Gill Sans MT"/>
                <w:color w:val="000000" w:themeColor="text1"/>
                <w:sz w:val="20"/>
                <w:szCs w:val="20"/>
              </w:rPr>
            </w:pPr>
            <w:r>
              <w:rPr>
                <w:rFonts w:ascii="Gill Sans MT" w:hAnsi="Gill Sans MT"/>
                <w:color w:val="000000" w:themeColor="text1"/>
                <w:sz w:val="20"/>
                <w:szCs w:val="20"/>
              </w:rPr>
              <w:t xml:space="preserve">A </w:t>
            </w:r>
            <w:r w:rsidR="00956554">
              <w:rPr>
                <w:rFonts w:ascii="Gill Sans MT" w:hAnsi="Gill Sans MT"/>
                <w:color w:val="000000" w:themeColor="text1"/>
                <w:sz w:val="20"/>
                <w:szCs w:val="20"/>
              </w:rPr>
              <w:t xml:space="preserve">resource </w:t>
            </w:r>
            <w:r w:rsidR="005D615F">
              <w:rPr>
                <w:rFonts w:ascii="Gill Sans MT" w:hAnsi="Gill Sans MT"/>
                <w:color w:val="000000" w:themeColor="text1"/>
                <w:sz w:val="20"/>
                <w:szCs w:val="20"/>
              </w:rPr>
              <w:t xml:space="preserve">describes </w:t>
            </w:r>
            <w:r>
              <w:rPr>
                <w:rFonts w:ascii="Gill Sans MT" w:hAnsi="Gill Sans MT"/>
                <w:color w:val="000000" w:themeColor="text1"/>
                <w:sz w:val="20"/>
                <w:szCs w:val="20"/>
              </w:rPr>
              <w:t>the use of theory of change in pra</w:t>
            </w:r>
            <w:r w:rsidR="00956554">
              <w:rPr>
                <w:rFonts w:ascii="Gill Sans MT" w:hAnsi="Gill Sans MT"/>
                <w:color w:val="000000" w:themeColor="text1"/>
                <w:sz w:val="20"/>
                <w:szCs w:val="20"/>
              </w:rPr>
              <w:t>xis</w:t>
            </w:r>
            <w:r>
              <w:rPr>
                <w:rFonts w:ascii="Gill Sans MT" w:hAnsi="Gill Sans MT"/>
                <w:color w:val="000000" w:themeColor="text1"/>
                <w:sz w:val="20"/>
                <w:szCs w:val="20"/>
              </w:rPr>
              <w:t xml:space="preserve"> teams</w:t>
            </w:r>
          </w:p>
          <w:p w14:paraId="7BE754F4" w14:textId="77777777" w:rsidR="00322342" w:rsidRPr="00C25316" w:rsidRDefault="00322342" w:rsidP="00322342">
            <w:pPr>
              <w:rPr>
                <w:rFonts w:ascii="Gill Sans MT" w:hAnsi="Gill Sans MT"/>
                <w:color w:val="000000" w:themeColor="text1"/>
                <w:sz w:val="20"/>
                <w:szCs w:val="20"/>
              </w:rPr>
            </w:pPr>
          </w:p>
          <w:p w14:paraId="4261A2A2" w14:textId="30F56162" w:rsidR="00694377" w:rsidRPr="00C25316" w:rsidRDefault="00694377" w:rsidP="00322342">
            <w:pPr>
              <w:rPr>
                <w:rFonts w:ascii="Gill Sans MT" w:hAnsi="Gill Sans MT"/>
                <w:color w:val="000000" w:themeColor="text1"/>
                <w:sz w:val="20"/>
                <w:szCs w:val="20"/>
              </w:rPr>
            </w:pPr>
            <w:r w:rsidRPr="00C25316">
              <w:rPr>
                <w:rFonts w:ascii="Gill Sans MT" w:hAnsi="Gill Sans MT"/>
                <w:color w:val="000000" w:themeColor="text1"/>
                <w:sz w:val="20"/>
                <w:szCs w:val="20"/>
              </w:rPr>
              <w:t xml:space="preserve">A checklist for reviewing the </w:t>
            </w:r>
            <w:hyperlink r:id="rId25" w:history="1">
              <w:r w:rsidRPr="00B82689">
                <w:rPr>
                  <w:rStyle w:val="Hyperlink"/>
                  <w:rFonts w:ascii="Gill Sans MT" w:hAnsi="Gill Sans MT"/>
                  <w:kern w:val="2"/>
                  <w:sz w:val="20"/>
                  <w:szCs w:val="20"/>
                  <w14:ligatures w14:val="standardContextual"/>
                </w:rPr>
                <w:t>evaluability of the theory of change</w:t>
              </w:r>
            </w:hyperlink>
            <w:r w:rsidRPr="00C25316">
              <w:rPr>
                <w:rFonts w:ascii="Gill Sans MT" w:hAnsi="Gill Sans MT"/>
                <w:color w:val="000000" w:themeColor="text1"/>
                <w:sz w:val="20"/>
                <w:szCs w:val="20"/>
              </w:rPr>
              <w:t xml:space="preserve"> </w:t>
            </w:r>
            <w:r w:rsidR="0096169E">
              <w:rPr>
                <w:rFonts w:ascii="Gill Sans MT" w:hAnsi="Gill Sans MT"/>
                <w:color w:val="000000" w:themeColor="text1"/>
                <w:sz w:val="20"/>
                <w:szCs w:val="20"/>
              </w:rPr>
              <w:t>and implications for the p-p-c-</w:t>
            </w:r>
            <w:r w:rsidR="007B72E1">
              <w:rPr>
                <w:rFonts w:ascii="Gill Sans MT" w:hAnsi="Gill Sans MT"/>
                <w:color w:val="000000" w:themeColor="text1"/>
                <w:sz w:val="20"/>
                <w:szCs w:val="20"/>
              </w:rPr>
              <w:t>c</w:t>
            </w:r>
            <w:r w:rsidR="0096169E">
              <w:rPr>
                <w:rFonts w:ascii="Gill Sans MT" w:hAnsi="Gill Sans MT"/>
                <w:color w:val="000000" w:themeColor="text1"/>
                <w:sz w:val="20"/>
                <w:szCs w:val="20"/>
              </w:rPr>
              <w:t xml:space="preserve"> framework </w:t>
            </w:r>
          </w:p>
          <w:p w14:paraId="1364A91D" w14:textId="77777777" w:rsidR="00322342" w:rsidRPr="00C25316" w:rsidRDefault="00322342" w:rsidP="00322342">
            <w:pPr>
              <w:rPr>
                <w:rFonts w:ascii="Gill Sans MT" w:hAnsi="Gill Sans MT"/>
                <w:color w:val="000000" w:themeColor="text1"/>
                <w:sz w:val="20"/>
                <w:szCs w:val="20"/>
              </w:rPr>
            </w:pPr>
          </w:p>
          <w:p w14:paraId="1DFA3555" w14:textId="74B308C7" w:rsidR="00694377" w:rsidRPr="00C25316" w:rsidRDefault="00694377" w:rsidP="00322342">
            <w:pPr>
              <w:rPr>
                <w:rFonts w:ascii="Gill Sans MT" w:hAnsi="Gill Sans MT"/>
                <w:color w:val="000000" w:themeColor="text1"/>
                <w:sz w:val="20"/>
                <w:szCs w:val="20"/>
              </w:rPr>
            </w:pPr>
            <w:r w:rsidRPr="00C25316">
              <w:rPr>
                <w:rFonts w:ascii="Gill Sans MT" w:hAnsi="Gill Sans MT"/>
                <w:color w:val="000000" w:themeColor="text1"/>
                <w:sz w:val="20"/>
                <w:szCs w:val="20"/>
              </w:rPr>
              <w:t>Resources are in development on linking theory of change to evaluation</w:t>
            </w:r>
          </w:p>
        </w:tc>
      </w:tr>
      <w:tr w:rsidR="00694377" w:rsidRPr="00C25316" w14:paraId="6FB53DFC" w14:textId="77777777" w:rsidTr="00715C2A">
        <w:tc>
          <w:tcPr>
            <w:tcW w:w="3256" w:type="dxa"/>
          </w:tcPr>
          <w:p w14:paraId="1090D67F" w14:textId="77777777" w:rsidR="006B5004" w:rsidRDefault="0005292C" w:rsidP="006B5004">
            <w:pPr>
              <w:rPr>
                <w:rFonts w:ascii="Gill Sans MT" w:hAnsi="Gill Sans MT"/>
                <w:color w:val="000000" w:themeColor="text1"/>
                <w:spacing w:val="-2"/>
                <w:sz w:val="20"/>
                <w:szCs w:val="20"/>
              </w:rPr>
            </w:pPr>
            <w:r w:rsidRPr="00C25316">
              <w:rPr>
                <w:rFonts w:ascii="Gill Sans MT" w:hAnsi="Gill Sans MT"/>
                <w:color w:val="000000" w:themeColor="text1"/>
                <w:spacing w:val="-2"/>
                <w:sz w:val="20"/>
                <w:szCs w:val="20"/>
              </w:rPr>
              <w:t>Step 4) Ensure fundamental requirements are being met</w:t>
            </w:r>
          </w:p>
          <w:p w14:paraId="4784B24A" w14:textId="77777777" w:rsidR="006B5004" w:rsidRDefault="006B5004" w:rsidP="006B5004"/>
          <w:p w14:paraId="0EF27D05" w14:textId="1F818980" w:rsidR="00F347E4" w:rsidRPr="006B5004" w:rsidRDefault="00142874" w:rsidP="006B5004">
            <w:pPr>
              <w:rPr>
                <w:rFonts w:ascii="Gill Sans MT" w:hAnsi="Gill Sans MT"/>
                <w:color w:val="000000" w:themeColor="text1"/>
                <w:spacing w:val="-2"/>
                <w:sz w:val="20"/>
                <w:szCs w:val="20"/>
              </w:rPr>
            </w:pPr>
            <w:r w:rsidRPr="006B5004">
              <w:rPr>
                <w:rFonts w:ascii="Gill Sans MT" w:hAnsi="Gill Sans MT"/>
                <w:sz w:val="20"/>
                <w:szCs w:val="20"/>
              </w:rPr>
              <w:t xml:space="preserve">Rationale: </w:t>
            </w:r>
            <w:r w:rsidR="00F347E4" w:rsidRPr="006B5004">
              <w:rPr>
                <w:rFonts w:ascii="Gill Sans MT" w:hAnsi="Gill Sans MT"/>
                <w:sz w:val="20"/>
                <w:szCs w:val="20"/>
              </w:rPr>
              <w:t xml:space="preserve">Systematic </w:t>
            </w:r>
            <w:r w:rsidRPr="006B5004">
              <w:rPr>
                <w:rFonts w:ascii="Gill Sans MT" w:hAnsi="Gill Sans MT"/>
                <w:sz w:val="20"/>
                <w:szCs w:val="20"/>
              </w:rPr>
              <w:t xml:space="preserve">and ongoing </w:t>
            </w:r>
            <w:r w:rsidR="00F347E4" w:rsidRPr="006B5004">
              <w:rPr>
                <w:rFonts w:ascii="Gill Sans MT" w:hAnsi="Gill Sans MT"/>
                <w:sz w:val="20"/>
                <w:szCs w:val="20"/>
              </w:rPr>
              <w:t>approaches to monitoring, feedback and tracking need</w:t>
            </w:r>
            <w:r w:rsidRPr="006B5004">
              <w:rPr>
                <w:rFonts w:ascii="Gill Sans MT" w:hAnsi="Gill Sans MT"/>
                <w:sz w:val="20"/>
                <w:szCs w:val="20"/>
              </w:rPr>
              <w:t xml:space="preserve"> to be embedded from the start </w:t>
            </w:r>
            <w:r w:rsidR="00F347E4" w:rsidRPr="006B5004">
              <w:rPr>
                <w:rFonts w:ascii="Gill Sans MT" w:hAnsi="Gill Sans MT"/>
                <w:sz w:val="20"/>
                <w:szCs w:val="20"/>
              </w:rPr>
              <w:t xml:space="preserve">in order to support evaluation by gathering observations and data to assess what happened, with whom, and with what result. </w:t>
            </w:r>
            <w:r w:rsidR="00C30D14" w:rsidRPr="006B5004">
              <w:rPr>
                <w:rFonts w:ascii="Gill Sans MT" w:hAnsi="Gill Sans MT"/>
                <w:sz w:val="20"/>
                <w:szCs w:val="20"/>
              </w:rPr>
              <w:t>R</w:t>
            </w:r>
            <w:r w:rsidR="00F347E4" w:rsidRPr="006B5004">
              <w:rPr>
                <w:rFonts w:ascii="Gill Sans MT" w:hAnsi="Gill Sans MT"/>
                <w:sz w:val="20"/>
                <w:szCs w:val="20"/>
              </w:rPr>
              <w:t xml:space="preserve">outine data collection and monitoring are key activities underlying evaluation. </w:t>
            </w:r>
            <w:r w:rsidR="00B3185B" w:rsidRPr="006B5004">
              <w:rPr>
                <w:rFonts w:ascii="Gill Sans MT" w:hAnsi="Gill Sans MT"/>
                <w:sz w:val="20"/>
                <w:szCs w:val="20"/>
              </w:rPr>
              <w:t xml:space="preserve">Getting the monitoring right is particularly </w:t>
            </w:r>
            <w:r w:rsidR="00B3185B" w:rsidRPr="006B5004">
              <w:rPr>
                <w:rFonts w:ascii="Gill Sans MT" w:hAnsi="Gill Sans MT"/>
                <w:sz w:val="20"/>
                <w:szCs w:val="20"/>
              </w:rPr>
              <w:lastRenderedPageBreak/>
              <w:t xml:space="preserve">important in long-term programmes which are likely to need adaptation as new insights emerge over time. </w:t>
            </w:r>
          </w:p>
          <w:p w14:paraId="216ED6AD" w14:textId="07B2D866" w:rsidR="00F347E4" w:rsidRPr="00C25316" w:rsidRDefault="00F347E4" w:rsidP="00947564">
            <w:pPr>
              <w:rPr>
                <w:rFonts w:ascii="Gill Sans MT" w:hAnsi="Gill Sans MT"/>
                <w:color w:val="000000" w:themeColor="text1"/>
                <w:spacing w:val="-2"/>
                <w:sz w:val="20"/>
                <w:szCs w:val="20"/>
              </w:rPr>
            </w:pPr>
          </w:p>
        </w:tc>
        <w:tc>
          <w:tcPr>
            <w:tcW w:w="4111" w:type="dxa"/>
          </w:tcPr>
          <w:p w14:paraId="22924D9E" w14:textId="7C84C183" w:rsidR="006B691F" w:rsidRPr="00C25316" w:rsidRDefault="00733370" w:rsidP="001C5A91">
            <w:pPr>
              <w:pStyle w:val="ListParagraph"/>
              <w:numPr>
                <w:ilvl w:val="0"/>
                <w:numId w:val="9"/>
              </w:numPr>
            </w:pPr>
            <w:r w:rsidRPr="00C25316">
              <w:lastRenderedPageBreak/>
              <w:t>D</w:t>
            </w:r>
            <w:r w:rsidR="006B691F" w:rsidRPr="00C25316">
              <w:t xml:space="preserve">esign a monitoring framework that can inform the praxis team about what </w:t>
            </w:r>
            <w:r w:rsidR="00097491">
              <w:t>i</w:t>
            </w:r>
            <w:r w:rsidR="006B691F" w:rsidRPr="00C25316">
              <w:t xml:space="preserve">s delivered with whom </w:t>
            </w:r>
            <w:r w:rsidR="0009581B">
              <w:t xml:space="preserve">and with what result </w:t>
            </w:r>
            <w:r w:rsidR="006B691F" w:rsidRPr="00C25316">
              <w:t>to support adaptive processes</w:t>
            </w:r>
            <w:r w:rsidR="00097491">
              <w:t>.</w:t>
            </w:r>
          </w:p>
          <w:p w14:paraId="61B8772B" w14:textId="25DAB340" w:rsidR="006B691F" w:rsidRPr="00C25316" w:rsidRDefault="006B691F" w:rsidP="001C5A91">
            <w:pPr>
              <w:pStyle w:val="ListParagraph"/>
              <w:numPr>
                <w:ilvl w:val="0"/>
                <w:numId w:val="9"/>
              </w:numPr>
            </w:pPr>
            <w:r w:rsidRPr="00C25316">
              <w:t>Incorporat</w:t>
            </w:r>
            <w:r w:rsidR="0009581B">
              <w:t xml:space="preserve">e </w:t>
            </w:r>
            <w:r w:rsidRPr="00C25316">
              <w:t>process aspects and participant feedback into the monitoring framework in order to assess the effectiveness of the delivery methods.</w:t>
            </w:r>
          </w:p>
          <w:p w14:paraId="7CC0A57A" w14:textId="11C18226" w:rsidR="006B691F" w:rsidRPr="00C25316" w:rsidRDefault="006B691F" w:rsidP="001C5A91">
            <w:pPr>
              <w:pStyle w:val="ListParagraph"/>
              <w:numPr>
                <w:ilvl w:val="0"/>
                <w:numId w:val="9"/>
              </w:numPr>
            </w:pPr>
            <w:r w:rsidRPr="00C25316">
              <w:t>Incorporat</w:t>
            </w:r>
            <w:r w:rsidR="002D5AA6">
              <w:t>e</w:t>
            </w:r>
            <w:r w:rsidRPr="00C25316">
              <w:t xml:space="preserve"> what’s needed for longitudinal tracking and follow-up of participants (e.g. identifiers needed </w:t>
            </w:r>
            <w:r w:rsidR="00694C36">
              <w:t xml:space="preserve">and consent for tracking) and </w:t>
            </w:r>
            <w:r w:rsidRPr="00C25316">
              <w:t>buil</w:t>
            </w:r>
            <w:r w:rsidR="00694C36">
              <w:t>d these</w:t>
            </w:r>
            <w:r w:rsidRPr="00C25316">
              <w:t xml:space="preserve"> into the routine data collection processes).</w:t>
            </w:r>
          </w:p>
          <w:p w14:paraId="342E710E" w14:textId="5AFB1349" w:rsidR="00694377" w:rsidRPr="00C25316" w:rsidRDefault="006B691F" w:rsidP="001C5A91">
            <w:pPr>
              <w:pStyle w:val="ListParagraph"/>
              <w:numPr>
                <w:ilvl w:val="0"/>
                <w:numId w:val="9"/>
              </w:numPr>
            </w:pPr>
            <w:r w:rsidRPr="00C25316">
              <w:lastRenderedPageBreak/>
              <w:t>Perhaps link the monitoring framework to use of meta-data (e.g. progression trends).</w:t>
            </w:r>
          </w:p>
        </w:tc>
        <w:tc>
          <w:tcPr>
            <w:tcW w:w="4111" w:type="dxa"/>
          </w:tcPr>
          <w:p w14:paraId="3F88ADB2" w14:textId="5B5AC149" w:rsidR="00244233" w:rsidRPr="00C25316" w:rsidRDefault="00244233" w:rsidP="001C5A91">
            <w:pPr>
              <w:pStyle w:val="ListParagraph"/>
              <w:numPr>
                <w:ilvl w:val="0"/>
                <w:numId w:val="10"/>
              </w:numPr>
            </w:pPr>
            <w:r w:rsidRPr="00C25316">
              <w:lastRenderedPageBreak/>
              <w:t xml:space="preserve">There can be challenges in moving beyond the traditional approach to monitoring (linked to recording activity and expenditure) to achieve monitoring which supports theory-testing and evaluation. </w:t>
            </w:r>
            <w:r w:rsidR="00A42DF0">
              <w:t>S</w:t>
            </w:r>
            <w:r w:rsidRPr="00C25316">
              <w:t>ystems and processes for data collection and storage are needed (including data that incorporates the process characteristics of what</w:t>
            </w:r>
            <w:r w:rsidR="00A42DF0">
              <w:t>’</w:t>
            </w:r>
            <w:r w:rsidRPr="00C25316">
              <w:t>s delivered).</w:t>
            </w:r>
          </w:p>
          <w:p w14:paraId="257EA981" w14:textId="77777777" w:rsidR="002C30BA" w:rsidRDefault="00244233" w:rsidP="001C5A91">
            <w:pPr>
              <w:pStyle w:val="ListParagraph"/>
              <w:numPr>
                <w:ilvl w:val="0"/>
                <w:numId w:val="10"/>
              </w:numPr>
            </w:pPr>
            <w:r w:rsidRPr="00C25316">
              <w:t xml:space="preserve">The main challenge is linking monitoring to </w:t>
            </w:r>
            <w:proofErr w:type="gramStart"/>
            <w:r w:rsidRPr="00C25316">
              <w:t>decision-making, since</w:t>
            </w:r>
            <w:proofErr w:type="gramEnd"/>
            <w:r w:rsidRPr="00C25316">
              <w:t xml:space="preserve"> this requires feedback loops. A useful approach is to monitor the most critical assumptions against key ‘signposts’ (evidence that the </w:t>
            </w:r>
            <w:r w:rsidRPr="00C25316">
              <w:lastRenderedPageBreak/>
              <w:t>activities are as planned) and ‘triggers’ (threshold values which when crossed, signify that need for an adaptive response)</w:t>
            </w:r>
            <w:r w:rsidR="002C30BA">
              <w:t>.</w:t>
            </w:r>
          </w:p>
          <w:p w14:paraId="74B4077D" w14:textId="705CCEB4" w:rsidR="00694377" w:rsidRPr="00B965BD" w:rsidRDefault="00B965BD" w:rsidP="001C5A91">
            <w:pPr>
              <w:pStyle w:val="ListParagraph"/>
              <w:numPr>
                <w:ilvl w:val="0"/>
                <w:numId w:val="10"/>
              </w:numPr>
            </w:pPr>
            <w:r>
              <w:t xml:space="preserve">The </w:t>
            </w:r>
            <w:r w:rsidR="007975E4">
              <w:t xml:space="preserve">monitoring </w:t>
            </w:r>
            <w:r>
              <w:t>systems may need to work</w:t>
            </w:r>
            <w:r w:rsidRPr="00C25316">
              <w:t xml:space="preserve"> </w:t>
            </w:r>
            <w:r>
              <w:t>in different contexts,</w:t>
            </w:r>
            <w:r w:rsidR="00244233" w:rsidRPr="00B965BD">
              <w:t xml:space="preserve"> as part of multi-stakeholder programmes where there are multiple dimensions involved. </w:t>
            </w:r>
          </w:p>
        </w:tc>
        <w:tc>
          <w:tcPr>
            <w:tcW w:w="3968" w:type="dxa"/>
          </w:tcPr>
          <w:p w14:paraId="3979CF1E" w14:textId="3A90FB20" w:rsidR="003E4D26" w:rsidRPr="00C25316" w:rsidRDefault="003E4D26" w:rsidP="003E4D26">
            <w:pPr>
              <w:rPr>
                <w:rFonts w:ascii="Gill Sans MT" w:hAnsi="Gill Sans MT"/>
                <w:color w:val="000000" w:themeColor="text1"/>
                <w:spacing w:val="-2"/>
                <w:sz w:val="20"/>
                <w:szCs w:val="20"/>
              </w:rPr>
            </w:pPr>
            <w:r w:rsidRPr="00C25316">
              <w:rPr>
                <w:rFonts w:ascii="Gill Sans MT" w:hAnsi="Gill Sans MT"/>
                <w:color w:val="000000" w:themeColor="text1"/>
                <w:spacing w:val="-2"/>
                <w:sz w:val="20"/>
                <w:szCs w:val="20"/>
              </w:rPr>
              <w:lastRenderedPageBreak/>
              <w:t xml:space="preserve">NERUPI </w:t>
            </w:r>
            <w:hyperlink r:id="rId26" w:anchor="entry:6681@1:url" w:history="1">
              <w:r w:rsidRPr="0029047E">
                <w:rPr>
                  <w:rStyle w:val="Hyperlink"/>
                  <w:rFonts w:ascii="Gill Sans MT" w:hAnsi="Gill Sans MT"/>
                  <w:spacing w:val="-2"/>
                  <w:kern w:val="2"/>
                  <w:sz w:val="20"/>
                  <w:szCs w:val="20"/>
                  <w14:ligatures w14:val="standardContextual"/>
                </w:rPr>
                <w:t>guide to monitoring</w:t>
              </w:r>
            </w:hyperlink>
            <w:r w:rsidRPr="00C25316">
              <w:rPr>
                <w:rFonts w:ascii="Gill Sans MT" w:hAnsi="Gill Sans MT"/>
                <w:color w:val="000000" w:themeColor="text1"/>
                <w:spacing w:val="-2"/>
                <w:sz w:val="20"/>
                <w:szCs w:val="20"/>
              </w:rPr>
              <w:t xml:space="preserve"> gives suggestions for different types of monitoring and feedback data</w:t>
            </w:r>
          </w:p>
          <w:p w14:paraId="428809BC" w14:textId="77777777" w:rsidR="007A5BD5" w:rsidRDefault="007A5BD5" w:rsidP="003E4D26">
            <w:pPr>
              <w:rPr>
                <w:rFonts w:ascii="Gill Sans MT" w:hAnsi="Gill Sans MT"/>
                <w:color w:val="000000" w:themeColor="text1"/>
                <w:spacing w:val="-2"/>
                <w:sz w:val="20"/>
                <w:szCs w:val="20"/>
              </w:rPr>
            </w:pPr>
          </w:p>
          <w:p w14:paraId="712E0235" w14:textId="5977E342" w:rsidR="008B55B2" w:rsidRDefault="003179F1" w:rsidP="008B55B2">
            <w:pPr>
              <w:pStyle w:val="Body"/>
            </w:pPr>
            <w:r>
              <w:t xml:space="preserve">NERUPI </w:t>
            </w:r>
            <w:hyperlink r:id="rId27" w:history="1">
              <w:r w:rsidR="002B1E7B" w:rsidRPr="002B1E7B">
                <w:rPr>
                  <w:rStyle w:val="Hyperlink"/>
                </w:rPr>
                <w:t>methods guide</w:t>
              </w:r>
            </w:hyperlink>
            <w:r w:rsidR="002B1E7B">
              <w:t xml:space="preserve"> </w:t>
            </w:r>
            <w:r>
              <w:t xml:space="preserve">to stakeholder feedback </w:t>
            </w:r>
            <w:r w:rsidR="008B55B2">
              <w:t xml:space="preserve">discusses collection of feedback. </w:t>
            </w:r>
          </w:p>
          <w:p w14:paraId="5E956AA2" w14:textId="77777777" w:rsidR="008B55B2" w:rsidRDefault="008B55B2" w:rsidP="008B55B2">
            <w:pPr>
              <w:pStyle w:val="Body"/>
              <w:rPr>
                <w:color w:val="000000" w:themeColor="text1"/>
                <w:szCs w:val="20"/>
              </w:rPr>
            </w:pPr>
          </w:p>
          <w:p w14:paraId="25C7B184" w14:textId="57669A10" w:rsidR="00694377" w:rsidRDefault="003E4D26" w:rsidP="008B55B2">
            <w:pPr>
              <w:pStyle w:val="Body"/>
              <w:rPr>
                <w:color w:val="000000" w:themeColor="text1"/>
                <w:szCs w:val="20"/>
              </w:rPr>
            </w:pPr>
            <w:r w:rsidRPr="00C25316">
              <w:rPr>
                <w:color w:val="000000" w:themeColor="text1"/>
                <w:szCs w:val="20"/>
              </w:rPr>
              <w:t xml:space="preserve">The NERUPI </w:t>
            </w:r>
            <w:hyperlink r:id="rId28" w:history="1">
              <w:r w:rsidR="00FD2038" w:rsidRPr="00FD2038">
                <w:rPr>
                  <w:rStyle w:val="Hyperlink"/>
                  <w:szCs w:val="20"/>
                </w:rPr>
                <w:t xml:space="preserve">methods </w:t>
              </w:r>
              <w:r w:rsidRPr="00FD2038">
                <w:rPr>
                  <w:rStyle w:val="Hyperlink"/>
                  <w:szCs w:val="20"/>
                </w:rPr>
                <w:t>guide</w:t>
              </w:r>
            </w:hyperlink>
            <w:r w:rsidRPr="00C25316">
              <w:rPr>
                <w:color w:val="000000" w:themeColor="text1"/>
                <w:szCs w:val="20"/>
              </w:rPr>
              <w:t xml:space="preserve"> to tracking discusses different ways of obtaining longitudinal data (with links to including comparator groups in HEAT tracking reports.</w:t>
            </w:r>
          </w:p>
          <w:p w14:paraId="65F35357" w14:textId="77777777" w:rsidR="008B55B2" w:rsidRDefault="008B55B2" w:rsidP="008B55B2">
            <w:pPr>
              <w:pStyle w:val="Body"/>
              <w:rPr>
                <w:color w:val="000000" w:themeColor="text1"/>
                <w:szCs w:val="20"/>
              </w:rPr>
            </w:pPr>
          </w:p>
          <w:p w14:paraId="39904BB5" w14:textId="69606E92" w:rsidR="005E43A3" w:rsidRPr="00C25316" w:rsidRDefault="005E43A3" w:rsidP="008B55B2">
            <w:pPr>
              <w:pStyle w:val="Body"/>
              <w:rPr>
                <w:color w:val="000000" w:themeColor="text1"/>
                <w:szCs w:val="20"/>
              </w:rPr>
            </w:pPr>
            <w:r>
              <w:rPr>
                <w:color w:val="000000" w:themeColor="text1"/>
                <w:szCs w:val="20"/>
              </w:rPr>
              <w:t xml:space="preserve">Guidance on </w:t>
            </w:r>
            <w:hyperlink r:id="rId29" w:history="1">
              <w:r w:rsidRPr="00571E8A">
                <w:rPr>
                  <w:rStyle w:val="Hyperlink"/>
                  <w:szCs w:val="20"/>
                </w:rPr>
                <w:t>process evaluation</w:t>
              </w:r>
            </w:hyperlink>
            <w:r>
              <w:rPr>
                <w:color w:val="000000" w:themeColor="text1"/>
                <w:szCs w:val="20"/>
              </w:rPr>
              <w:t xml:space="preserve"> includes suggestions for </w:t>
            </w:r>
            <w:r w:rsidR="00BB1DAF">
              <w:rPr>
                <w:color w:val="000000" w:themeColor="text1"/>
                <w:szCs w:val="20"/>
              </w:rPr>
              <w:t xml:space="preserve">using feedback </w:t>
            </w:r>
            <w:r>
              <w:rPr>
                <w:color w:val="000000" w:themeColor="text1"/>
                <w:szCs w:val="20"/>
              </w:rPr>
              <w:t xml:space="preserve">evidence. </w:t>
            </w:r>
          </w:p>
        </w:tc>
      </w:tr>
      <w:tr w:rsidR="00B3185B" w:rsidRPr="002B326E" w14:paraId="23CE458E" w14:textId="77777777" w:rsidTr="00B35989">
        <w:tc>
          <w:tcPr>
            <w:tcW w:w="3256" w:type="dxa"/>
          </w:tcPr>
          <w:p w14:paraId="4FB7B26F" w14:textId="130E49AF" w:rsidR="00B3185B" w:rsidRPr="00C25316" w:rsidRDefault="00B3185B"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t xml:space="preserve">Outputs at this stage could include: </w:t>
            </w:r>
          </w:p>
        </w:tc>
        <w:tc>
          <w:tcPr>
            <w:tcW w:w="12190" w:type="dxa"/>
            <w:gridSpan w:val="3"/>
          </w:tcPr>
          <w:p w14:paraId="4B089879" w14:textId="32D565CD" w:rsidR="00B3185B" w:rsidRPr="00C25316" w:rsidRDefault="00A20E93"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t>Stakeholder analysis, praxis team TOR, first draft evaluation self-assessment tool, evaluation development action plan, monitoring arrangements, TOC</w:t>
            </w:r>
            <w:r w:rsidR="001166DA">
              <w:rPr>
                <w:rFonts w:ascii="Gill Sans MT" w:hAnsi="Gill Sans MT"/>
                <w:color w:val="000000" w:themeColor="text1"/>
                <w:spacing w:val="-2"/>
                <w:sz w:val="20"/>
                <w:szCs w:val="20"/>
              </w:rPr>
              <w:t xml:space="preserve"> evaluability assessment</w:t>
            </w:r>
          </w:p>
        </w:tc>
      </w:tr>
      <w:tr w:rsidR="001534BD" w:rsidRPr="00C25316" w14:paraId="25940F08" w14:textId="77777777" w:rsidTr="004F08E6">
        <w:tc>
          <w:tcPr>
            <w:tcW w:w="15446" w:type="dxa"/>
            <w:gridSpan w:val="4"/>
          </w:tcPr>
          <w:p w14:paraId="00A719C3" w14:textId="49EF5368" w:rsidR="001534BD" w:rsidRPr="00C25316" w:rsidRDefault="001534BD" w:rsidP="004F08E6">
            <w:pPr>
              <w:rPr>
                <w:rFonts w:ascii="Gill Sans MT" w:hAnsi="Gill Sans MT"/>
                <w:b/>
                <w:bCs/>
                <w:color w:val="7030A0"/>
                <w:sz w:val="20"/>
                <w:szCs w:val="20"/>
              </w:rPr>
            </w:pPr>
            <w:r>
              <w:rPr>
                <w:rFonts w:ascii="Gill Sans MT" w:hAnsi="Gill Sans MT"/>
                <w:b/>
                <w:bCs/>
                <w:color w:val="007D98"/>
                <w:sz w:val="20"/>
                <w:szCs w:val="20"/>
              </w:rPr>
              <w:t>2</w:t>
            </w:r>
            <w:r w:rsidRPr="00C25316">
              <w:rPr>
                <w:rFonts w:ascii="Gill Sans MT" w:hAnsi="Gill Sans MT"/>
                <w:b/>
                <w:bCs/>
                <w:color w:val="007D98"/>
                <w:sz w:val="20"/>
                <w:szCs w:val="20"/>
              </w:rPr>
              <w:t xml:space="preserve">. </w:t>
            </w:r>
            <w:r>
              <w:rPr>
                <w:rFonts w:ascii="Gill Sans MT" w:hAnsi="Gill Sans MT"/>
                <w:b/>
                <w:bCs/>
                <w:color w:val="007D98"/>
                <w:sz w:val="20"/>
                <w:szCs w:val="20"/>
              </w:rPr>
              <w:t>Evaluation Design</w:t>
            </w:r>
          </w:p>
        </w:tc>
      </w:tr>
      <w:tr w:rsidR="00C1409E" w:rsidRPr="002B326E" w14:paraId="5E4C7477" w14:textId="77777777" w:rsidTr="00715C2A">
        <w:tc>
          <w:tcPr>
            <w:tcW w:w="3256" w:type="dxa"/>
          </w:tcPr>
          <w:p w14:paraId="014B7633" w14:textId="77777777" w:rsidR="00C1409E" w:rsidRDefault="00C1409E" w:rsidP="00C1409E">
            <w:pPr>
              <w:rPr>
                <w:rFonts w:ascii="Gill Sans MT" w:hAnsi="Gill Sans MT"/>
                <w:color w:val="000000" w:themeColor="text1"/>
                <w:spacing w:val="-2"/>
                <w:sz w:val="20"/>
                <w:szCs w:val="20"/>
              </w:rPr>
            </w:pPr>
            <w:r w:rsidRPr="00C25316">
              <w:rPr>
                <w:rFonts w:ascii="Gill Sans MT" w:hAnsi="Gill Sans MT"/>
                <w:color w:val="000000" w:themeColor="text1"/>
                <w:spacing w:val="-2"/>
                <w:sz w:val="20"/>
                <w:szCs w:val="20"/>
              </w:rPr>
              <w:t xml:space="preserve">Step 5) Identify evaluation purpose(s) and uses </w:t>
            </w:r>
          </w:p>
          <w:p w14:paraId="47023388" w14:textId="77777777" w:rsidR="00C1409E" w:rsidRDefault="00C1409E" w:rsidP="00C1409E">
            <w:pPr>
              <w:rPr>
                <w:rFonts w:ascii="Gill Sans MT" w:hAnsi="Gill Sans MT"/>
                <w:color w:val="000000" w:themeColor="text1"/>
                <w:spacing w:val="-2"/>
                <w:sz w:val="20"/>
                <w:szCs w:val="20"/>
              </w:rPr>
            </w:pPr>
          </w:p>
          <w:p w14:paraId="35441800" w14:textId="3D441C6D" w:rsidR="00C1409E" w:rsidRPr="002B326E" w:rsidRDefault="00CC15DC" w:rsidP="00C665B5">
            <w:pPr>
              <w:pStyle w:val="Body"/>
            </w:pPr>
            <w:r>
              <w:t xml:space="preserve">Rationale: </w:t>
            </w:r>
            <w:r w:rsidR="00C1409E" w:rsidRPr="002B326E">
              <w:t>In order for evaluation to</w:t>
            </w:r>
            <w:r w:rsidR="001166DA">
              <w:t xml:space="preserve"> support </w:t>
            </w:r>
            <w:r w:rsidR="00CA67B5">
              <w:t xml:space="preserve">iterative </w:t>
            </w:r>
            <w:r w:rsidR="001166DA">
              <w:t xml:space="preserve">cycles of reflection and action, </w:t>
            </w:r>
            <w:r w:rsidR="00C1409E" w:rsidRPr="002B326E">
              <w:t>there needs to be clarity o</w:t>
            </w:r>
            <w:r>
              <w:t xml:space="preserve">f </w:t>
            </w:r>
            <w:r w:rsidR="00C1409E" w:rsidRPr="002B326E">
              <w:t>purpose</w:t>
            </w:r>
            <w:r w:rsidR="007975E4" w:rsidRPr="002B326E">
              <w:t>: for example,</w:t>
            </w:r>
            <w:r w:rsidR="00C1409E" w:rsidRPr="002B326E">
              <w:t xml:space="preserve"> is the main</w:t>
            </w:r>
            <w:r w:rsidR="002261BE">
              <w:t xml:space="preserve"> present</w:t>
            </w:r>
            <w:r w:rsidR="00C1409E" w:rsidRPr="002B326E">
              <w:t xml:space="preserve"> purpose to contribute to programme improvement, to assess whether the ToC holds up in practice, for accountability uses or making major decisions </w:t>
            </w:r>
            <w:r w:rsidR="001A27A2">
              <w:t>based on</w:t>
            </w:r>
            <w:r w:rsidR="005B6460">
              <w:t xml:space="preserve"> </w:t>
            </w:r>
            <w:r w:rsidR="00C1409E" w:rsidRPr="002B326E">
              <w:t>impact</w:t>
            </w:r>
            <w:r w:rsidR="007975E4" w:rsidRPr="002B326E">
              <w:t>?</w:t>
            </w:r>
            <w:r w:rsidR="00C1409E" w:rsidRPr="002B326E">
              <w:t xml:space="preserve"> </w:t>
            </w:r>
            <w:r>
              <w:t xml:space="preserve">The purpose </w:t>
            </w:r>
            <w:r w:rsidR="00210241">
              <w:t>will</w:t>
            </w:r>
            <w:r>
              <w:t xml:space="preserve"> change over </w:t>
            </w:r>
            <w:r w:rsidR="00210241">
              <w:t>the lifetime of the programme</w:t>
            </w:r>
            <w:r>
              <w:t xml:space="preserve">. </w:t>
            </w:r>
          </w:p>
        </w:tc>
        <w:tc>
          <w:tcPr>
            <w:tcW w:w="4111" w:type="dxa"/>
          </w:tcPr>
          <w:p w14:paraId="7428C700" w14:textId="4A10D2B5" w:rsidR="000C0AE5" w:rsidRPr="002B326E" w:rsidRDefault="00C1409E" w:rsidP="001C5A91">
            <w:pPr>
              <w:pStyle w:val="ListParagraph"/>
              <w:numPr>
                <w:ilvl w:val="0"/>
                <w:numId w:val="11"/>
              </w:numPr>
            </w:pPr>
            <w:r w:rsidRPr="002B326E">
              <w:t xml:space="preserve">Work with evaluation stakeholders to establish the </w:t>
            </w:r>
            <w:r w:rsidR="001C3689">
              <w:t xml:space="preserve">present </w:t>
            </w:r>
            <w:r w:rsidRPr="002B326E">
              <w:t xml:space="preserve">purpose </w:t>
            </w:r>
            <w:r w:rsidR="00EA1F17">
              <w:t>for</w:t>
            </w:r>
            <w:r w:rsidRPr="002B326E">
              <w:t xml:space="preserve"> evaluation</w:t>
            </w:r>
            <w:r w:rsidR="000F5E21">
              <w:t>, making</w:t>
            </w:r>
            <w:r w:rsidR="000C0AE5" w:rsidRPr="002B326E">
              <w:t xml:space="preserve"> sure the evaluation takes account of the primary evaluation users a</w:t>
            </w:r>
            <w:r w:rsidR="000F5E21">
              <w:t xml:space="preserve">s well as </w:t>
            </w:r>
            <w:r w:rsidR="000C0AE5" w:rsidRPr="002B326E">
              <w:t>the accountability context for the programme.</w:t>
            </w:r>
          </w:p>
          <w:p w14:paraId="11188E90" w14:textId="66996FD7" w:rsidR="00C871B1" w:rsidRPr="007B6902" w:rsidRDefault="00C1409E" w:rsidP="001C5A91">
            <w:pPr>
              <w:pStyle w:val="ListParagraph"/>
              <w:numPr>
                <w:ilvl w:val="0"/>
                <w:numId w:val="11"/>
              </w:numPr>
            </w:pPr>
            <w:r w:rsidRPr="002B326E">
              <w:t xml:space="preserve">If the evaluation has several purposes, </w:t>
            </w:r>
            <w:r w:rsidR="001C3689">
              <w:t xml:space="preserve">clarify </w:t>
            </w:r>
            <w:r w:rsidRPr="002B326E">
              <w:t xml:space="preserve">how these work together </w:t>
            </w:r>
            <w:r w:rsidR="00A239D1" w:rsidRPr="002B326E">
              <w:t xml:space="preserve">(e.g. </w:t>
            </w:r>
            <w:r w:rsidRPr="002B326E">
              <w:t>primary and secondary uses</w:t>
            </w:r>
            <w:r w:rsidR="00A239D1" w:rsidRPr="002B326E">
              <w:t>)</w:t>
            </w:r>
            <w:r w:rsidRPr="002B326E">
              <w:t xml:space="preserve"> so it’s clear where the effort needs to go and what different evaluation use</w:t>
            </w:r>
            <w:r w:rsidR="00212AB2" w:rsidRPr="002B326E">
              <w:t>r</w:t>
            </w:r>
            <w:r w:rsidRPr="002B326E">
              <w:t>s can expect.</w:t>
            </w:r>
          </w:p>
          <w:p w14:paraId="7F6E6718" w14:textId="07202EDF" w:rsidR="00D22A41" w:rsidRPr="002B326E" w:rsidRDefault="00D22A41" w:rsidP="001C5A91">
            <w:pPr>
              <w:pStyle w:val="ListParagraph"/>
              <w:numPr>
                <w:ilvl w:val="0"/>
                <w:numId w:val="11"/>
              </w:numPr>
            </w:pPr>
            <w:r w:rsidRPr="002B326E">
              <w:t xml:space="preserve">Agree the approach to capturing impact and the issue of ‘proving’ the results were down to the programme. </w:t>
            </w:r>
          </w:p>
          <w:p w14:paraId="105988DA" w14:textId="0F851401" w:rsidR="00D22A41" w:rsidRPr="002B326E" w:rsidRDefault="00C1409E" w:rsidP="001C5A91">
            <w:pPr>
              <w:pStyle w:val="ListParagraph"/>
              <w:numPr>
                <w:ilvl w:val="0"/>
                <w:numId w:val="11"/>
              </w:numPr>
            </w:pPr>
            <w:r w:rsidRPr="002B326E">
              <w:t xml:space="preserve">Consider whether evaluation </w:t>
            </w:r>
            <w:r w:rsidR="0018456B">
              <w:t>will</w:t>
            </w:r>
            <w:r w:rsidRPr="002B326E">
              <w:t xml:space="preserve"> generate evidence-based practice findings that might be transferable beyond the programme and contribute to knowledge development in the HE sector.</w:t>
            </w:r>
          </w:p>
        </w:tc>
        <w:tc>
          <w:tcPr>
            <w:tcW w:w="4111" w:type="dxa"/>
          </w:tcPr>
          <w:p w14:paraId="3D5E0AB6" w14:textId="59E59310" w:rsidR="00C1409E" w:rsidRPr="002B326E" w:rsidRDefault="00C1409E" w:rsidP="001C5A91">
            <w:pPr>
              <w:pStyle w:val="ListParagraph"/>
              <w:numPr>
                <w:ilvl w:val="0"/>
                <w:numId w:val="12"/>
              </w:numPr>
            </w:pPr>
            <w:r w:rsidRPr="002B326E">
              <w:t xml:space="preserve">Establishing clear priorities can </w:t>
            </w:r>
            <w:r w:rsidR="006D594D">
              <w:t xml:space="preserve">be </w:t>
            </w:r>
            <w:r w:rsidRPr="002B326E">
              <w:t xml:space="preserve">difficult if there are competing </w:t>
            </w:r>
            <w:r w:rsidR="006D594D">
              <w:t xml:space="preserve">views </w:t>
            </w:r>
            <w:r w:rsidR="005D331C">
              <w:t xml:space="preserve">about what’s most important or </w:t>
            </w:r>
            <w:r w:rsidRPr="002B326E">
              <w:t>concerns about the potential positive and negative effects of priorit</w:t>
            </w:r>
            <w:r w:rsidR="00C0334B">
              <w:t xml:space="preserve">ising different aspects </w:t>
            </w:r>
            <w:r w:rsidRPr="002B326E">
              <w:t>in evaluation</w:t>
            </w:r>
            <w:r w:rsidR="00C0334B">
              <w:t xml:space="preserve"> (i.e. </w:t>
            </w:r>
            <w:r w:rsidR="009F36D2">
              <w:t xml:space="preserve">formative </w:t>
            </w:r>
            <w:r w:rsidRPr="002B326E">
              <w:t>evidence for development</w:t>
            </w:r>
            <w:r w:rsidR="00B360C5">
              <w:t>, participatory evidence for empowerment</w:t>
            </w:r>
            <w:r w:rsidRPr="002B326E">
              <w:t xml:space="preserve"> and </w:t>
            </w:r>
            <w:r w:rsidR="009F36D2">
              <w:t xml:space="preserve">summative </w:t>
            </w:r>
            <w:r w:rsidR="00352DC2">
              <w:t xml:space="preserve">evidence for </w:t>
            </w:r>
            <w:r w:rsidR="009F36D2">
              <w:t>measuring)</w:t>
            </w:r>
            <w:r w:rsidRPr="002B326E">
              <w:t xml:space="preserve">. </w:t>
            </w:r>
          </w:p>
          <w:p w14:paraId="55E3C64C" w14:textId="0F22A841" w:rsidR="00C1409E" w:rsidRPr="002B326E" w:rsidRDefault="00015164" w:rsidP="001C5A91">
            <w:pPr>
              <w:pStyle w:val="ListParagraph"/>
              <w:numPr>
                <w:ilvl w:val="0"/>
                <w:numId w:val="12"/>
              </w:numPr>
            </w:pPr>
            <w:r>
              <w:t>I</w:t>
            </w:r>
            <w:r w:rsidR="00C1409E" w:rsidRPr="002B326E">
              <w:t xml:space="preserve">t is </w:t>
            </w:r>
            <w:r>
              <w:t>usually</w:t>
            </w:r>
            <w:r w:rsidR="00C1409E" w:rsidRPr="002B326E">
              <w:t xml:space="preserve"> better to conceptualise a staged programme of evaluation which contributes to different objectives over time rather than to try to do everything at once.</w:t>
            </w:r>
          </w:p>
        </w:tc>
        <w:tc>
          <w:tcPr>
            <w:tcW w:w="3968" w:type="dxa"/>
          </w:tcPr>
          <w:p w14:paraId="1C8637A8" w14:textId="77777777" w:rsidR="00C1409E" w:rsidRDefault="00C1409E" w:rsidP="00C1409E">
            <w:pPr>
              <w:rPr>
                <w:rFonts w:ascii="Gill Sans MT" w:hAnsi="Gill Sans MT"/>
                <w:color w:val="000000" w:themeColor="text1"/>
                <w:spacing w:val="-2"/>
                <w:sz w:val="20"/>
                <w:szCs w:val="20"/>
              </w:rPr>
            </w:pPr>
            <w:r w:rsidRPr="00C25316">
              <w:rPr>
                <w:rFonts w:ascii="Gill Sans MT" w:hAnsi="Gill Sans MT"/>
                <w:color w:val="000000" w:themeColor="text1"/>
                <w:spacing w:val="-2"/>
                <w:sz w:val="20"/>
                <w:szCs w:val="20"/>
              </w:rPr>
              <w:t xml:space="preserve">Guidance on process evaluation </w:t>
            </w:r>
          </w:p>
          <w:p w14:paraId="1A40763E" w14:textId="77777777" w:rsidR="00015164" w:rsidRPr="00C25316" w:rsidRDefault="00015164" w:rsidP="00C1409E">
            <w:pPr>
              <w:rPr>
                <w:rFonts w:ascii="Gill Sans MT" w:hAnsi="Gill Sans MT"/>
                <w:color w:val="000000" w:themeColor="text1"/>
                <w:spacing w:val="-2"/>
                <w:sz w:val="20"/>
                <w:szCs w:val="20"/>
              </w:rPr>
            </w:pPr>
          </w:p>
          <w:p w14:paraId="6411E3D2" w14:textId="77777777" w:rsidR="00C1409E" w:rsidRPr="00C25316" w:rsidRDefault="00C1409E" w:rsidP="00C1409E">
            <w:pPr>
              <w:rPr>
                <w:rFonts w:ascii="Gill Sans MT" w:hAnsi="Gill Sans MT"/>
                <w:color w:val="000000" w:themeColor="text1"/>
                <w:spacing w:val="-2"/>
                <w:sz w:val="20"/>
                <w:szCs w:val="20"/>
              </w:rPr>
            </w:pPr>
            <w:r w:rsidRPr="00C25316">
              <w:rPr>
                <w:rFonts w:ascii="Gill Sans MT" w:hAnsi="Gill Sans MT"/>
                <w:color w:val="000000" w:themeColor="text1"/>
                <w:spacing w:val="-2"/>
                <w:sz w:val="20"/>
                <w:szCs w:val="20"/>
              </w:rPr>
              <w:t xml:space="preserve">Discussion of the differences between activity and programme level evaluation </w:t>
            </w:r>
          </w:p>
          <w:p w14:paraId="73FFD797" w14:textId="77777777" w:rsidR="00015164" w:rsidRDefault="00015164" w:rsidP="00C1409E">
            <w:pPr>
              <w:rPr>
                <w:rFonts w:ascii="Gill Sans MT" w:hAnsi="Gill Sans MT"/>
                <w:color w:val="000000" w:themeColor="text1"/>
                <w:spacing w:val="-2"/>
                <w:sz w:val="20"/>
                <w:szCs w:val="20"/>
              </w:rPr>
            </w:pPr>
          </w:p>
          <w:p w14:paraId="1E3B26CE" w14:textId="5B95E2D6" w:rsidR="00C1409E" w:rsidRPr="00C25316" w:rsidRDefault="00C1409E" w:rsidP="00C1409E">
            <w:pPr>
              <w:rPr>
                <w:rFonts w:ascii="Gill Sans MT" w:hAnsi="Gill Sans MT"/>
                <w:color w:val="000000" w:themeColor="text1"/>
                <w:spacing w:val="-2"/>
                <w:sz w:val="20"/>
                <w:szCs w:val="20"/>
              </w:rPr>
            </w:pPr>
            <w:r w:rsidRPr="00C25316">
              <w:rPr>
                <w:rFonts w:ascii="Gill Sans MT" w:hAnsi="Gill Sans MT"/>
                <w:color w:val="000000" w:themeColor="text1"/>
                <w:spacing w:val="-2"/>
                <w:sz w:val="20"/>
                <w:szCs w:val="20"/>
              </w:rPr>
              <w:t xml:space="preserve">Exercises to help </w:t>
            </w:r>
            <w:r w:rsidR="00B360C5">
              <w:rPr>
                <w:rFonts w:ascii="Gill Sans MT" w:hAnsi="Gill Sans MT"/>
                <w:color w:val="000000" w:themeColor="text1"/>
                <w:spacing w:val="-2"/>
                <w:sz w:val="20"/>
                <w:szCs w:val="20"/>
              </w:rPr>
              <w:t>with</w:t>
            </w:r>
            <w:r w:rsidRPr="00C25316">
              <w:rPr>
                <w:rFonts w:ascii="Gill Sans MT" w:hAnsi="Gill Sans MT"/>
                <w:color w:val="000000" w:themeColor="text1"/>
                <w:spacing w:val="-2"/>
                <w:sz w:val="20"/>
                <w:szCs w:val="20"/>
              </w:rPr>
              <w:t xml:space="preserve"> think</w:t>
            </w:r>
            <w:r w:rsidR="00B360C5">
              <w:rPr>
                <w:rFonts w:ascii="Gill Sans MT" w:hAnsi="Gill Sans MT"/>
                <w:color w:val="000000" w:themeColor="text1"/>
                <w:spacing w:val="-2"/>
                <w:sz w:val="20"/>
                <w:szCs w:val="20"/>
              </w:rPr>
              <w:t>ing</w:t>
            </w:r>
            <w:r w:rsidRPr="00C25316">
              <w:rPr>
                <w:rFonts w:ascii="Gill Sans MT" w:hAnsi="Gill Sans MT"/>
                <w:color w:val="000000" w:themeColor="text1"/>
                <w:spacing w:val="-2"/>
                <w:sz w:val="20"/>
                <w:szCs w:val="20"/>
              </w:rPr>
              <w:t xml:space="preserve"> about the purpose</w:t>
            </w:r>
            <w:r w:rsidR="00B360C5">
              <w:rPr>
                <w:rFonts w:ascii="Gill Sans MT" w:hAnsi="Gill Sans MT"/>
                <w:color w:val="000000" w:themeColor="text1"/>
                <w:spacing w:val="-2"/>
                <w:sz w:val="20"/>
                <w:szCs w:val="20"/>
              </w:rPr>
              <w:t>(s)</w:t>
            </w:r>
            <w:r w:rsidRPr="00C25316">
              <w:rPr>
                <w:rFonts w:ascii="Gill Sans MT" w:hAnsi="Gill Sans MT"/>
                <w:color w:val="000000" w:themeColor="text1"/>
                <w:spacing w:val="-2"/>
                <w:sz w:val="20"/>
                <w:szCs w:val="20"/>
              </w:rPr>
              <w:t xml:space="preserve"> of evaluation</w:t>
            </w:r>
          </w:p>
        </w:tc>
      </w:tr>
      <w:tr w:rsidR="00C1409E" w:rsidRPr="00C25316" w14:paraId="387112DD" w14:textId="77777777" w:rsidTr="00715C2A">
        <w:tc>
          <w:tcPr>
            <w:tcW w:w="3256" w:type="dxa"/>
          </w:tcPr>
          <w:p w14:paraId="79973DCA" w14:textId="2218A789" w:rsidR="00C1409E" w:rsidRDefault="00C1409E"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t xml:space="preserve">Step 6) </w:t>
            </w:r>
            <w:r w:rsidRPr="00884BCB">
              <w:rPr>
                <w:rFonts w:ascii="Gill Sans MT" w:hAnsi="Gill Sans MT"/>
                <w:color w:val="000000" w:themeColor="text1"/>
                <w:spacing w:val="-2"/>
                <w:sz w:val="20"/>
                <w:szCs w:val="20"/>
              </w:rPr>
              <w:t xml:space="preserve">Identify and prioritise </w:t>
            </w:r>
            <w:r w:rsidR="00017BD5">
              <w:rPr>
                <w:rFonts w:ascii="Gill Sans MT" w:hAnsi="Gill Sans MT"/>
                <w:color w:val="000000" w:themeColor="text1"/>
                <w:spacing w:val="-2"/>
                <w:sz w:val="20"/>
                <w:szCs w:val="20"/>
              </w:rPr>
              <w:t xml:space="preserve">focused </w:t>
            </w:r>
            <w:r w:rsidRPr="00884BCB">
              <w:rPr>
                <w:rFonts w:ascii="Gill Sans MT" w:hAnsi="Gill Sans MT"/>
                <w:color w:val="000000" w:themeColor="text1"/>
                <w:spacing w:val="-2"/>
                <w:sz w:val="20"/>
                <w:szCs w:val="20"/>
              </w:rPr>
              <w:t xml:space="preserve">evaluation questions </w:t>
            </w:r>
          </w:p>
          <w:p w14:paraId="3334E6D8" w14:textId="77777777" w:rsidR="007D6A68" w:rsidRDefault="007D6A68" w:rsidP="00C1409E">
            <w:pPr>
              <w:rPr>
                <w:rFonts w:ascii="Gill Sans MT" w:hAnsi="Gill Sans MT"/>
                <w:color w:val="000000" w:themeColor="text1"/>
                <w:spacing w:val="-2"/>
                <w:sz w:val="20"/>
                <w:szCs w:val="20"/>
              </w:rPr>
            </w:pPr>
          </w:p>
          <w:p w14:paraId="5B39371A" w14:textId="4E4832A5" w:rsidR="00C1409E" w:rsidRPr="00C25316" w:rsidRDefault="0065673C" w:rsidP="00470C2E">
            <w:pPr>
              <w:pStyle w:val="Body"/>
              <w:rPr>
                <w:color w:val="000000" w:themeColor="text1"/>
                <w:szCs w:val="20"/>
              </w:rPr>
            </w:pPr>
            <w:r>
              <w:t xml:space="preserve">Rationale: </w:t>
            </w:r>
            <w:r w:rsidR="00FA63CF">
              <w:t>T</w:t>
            </w:r>
            <w:r w:rsidR="007D6A68" w:rsidRPr="000A69BC">
              <w:t xml:space="preserve">he praxis team </w:t>
            </w:r>
            <w:r w:rsidR="00FA63CF">
              <w:t>needs to</w:t>
            </w:r>
            <w:r w:rsidR="007D6A68" w:rsidRPr="000A69BC">
              <w:t xml:space="preserve"> determine </w:t>
            </w:r>
            <w:r w:rsidR="007D6A68">
              <w:t>e</w:t>
            </w:r>
            <w:r w:rsidR="007D6A68" w:rsidRPr="000A69BC">
              <w:t>valuation questions</w:t>
            </w:r>
            <w:r w:rsidR="00A226D1">
              <w:t xml:space="preserve"> to </w:t>
            </w:r>
            <w:r w:rsidR="00FA63CF">
              <w:lastRenderedPageBreak/>
              <w:t>focus the evaluation on</w:t>
            </w:r>
            <w:r w:rsidR="00A226D1">
              <w:t xml:space="preserve"> the insights </w:t>
            </w:r>
            <w:r w:rsidR="00FA63CF">
              <w:t xml:space="preserve">needed to </w:t>
            </w:r>
            <w:r w:rsidR="00C042AD">
              <w:t>understand</w:t>
            </w:r>
            <w:r w:rsidR="00FA63CF">
              <w:t xml:space="preserve"> the programme.</w:t>
            </w:r>
            <w:r w:rsidR="00A226D1">
              <w:t xml:space="preserve"> </w:t>
            </w:r>
            <w:r w:rsidR="00DC2A64">
              <w:t>D</w:t>
            </w:r>
            <w:r w:rsidR="007D6A68" w:rsidRPr="000B358F">
              <w:t>ifferent evaluation questions could be asked at different times</w:t>
            </w:r>
            <w:r w:rsidR="00470C2E">
              <w:t xml:space="preserve"> (</w:t>
            </w:r>
            <w:r w:rsidR="007D6A68" w:rsidRPr="000B358F">
              <w:t xml:space="preserve">building </w:t>
            </w:r>
            <w:r w:rsidR="00C042AD">
              <w:t>cumulatively</w:t>
            </w:r>
            <w:r w:rsidR="00C042AD" w:rsidRPr="000B358F">
              <w:t xml:space="preserve"> </w:t>
            </w:r>
            <w:r w:rsidR="007D6A68" w:rsidRPr="000B358F">
              <w:t>on what is already known</w:t>
            </w:r>
            <w:r w:rsidR="00470C2E">
              <w:t xml:space="preserve">). </w:t>
            </w:r>
          </w:p>
        </w:tc>
        <w:tc>
          <w:tcPr>
            <w:tcW w:w="4111" w:type="dxa"/>
          </w:tcPr>
          <w:p w14:paraId="649A667F" w14:textId="6D9C4A9C" w:rsidR="000329A8" w:rsidRDefault="00C1409E" w:rsidP="001C5A91">
            <w:pPr>
              <w:pStyle w:val="ListParagraph"/>
              <w:numPr>
                <w:ilvl w:val="0"/>
                <w:numId w:val="13"/>
              </w:numPr>
            </w:pPr>
            <w:r w:rsidRPr="009D39E3">
              <w:lastRenderedPageBreak/>
              <w:t xml:space="preserve">Identify </w:t>
            </w:r>
            <w:r w:rsidR="00382BD0">
              <w:t>focused</w:t>
            </w:r>
            <w:r w:rsidRPr="009D39E3">
              <w:t xml:space="preserve"> questions which the evaluation will address </w:t>
            </w:r>
            <w:r w:rsidR="000329A8">
              <w:t>(i</w:t>
            </w:r>
            <w:r w:rsidR="000329A8" w:rsidRPr="009D39E3">
              <w:t xml:space="preserve">n the initial stages questions are likely to </w:t>
            </w:r>
            <w:r w:rsidR="000329A8">
              <w:t>address</w:t>
            </w:r>
            <w:r w:rsidR="000329A8" w:rsidRPr="009D39E3">
              <w:t xml:space="preserve"> implementation </w:t>
            </w:r>
            <w:r w:rsidR="000329A8">
              <w:t xml:space="preserve">and process </w:t>
            </w:r>
            <w:r w:rsidR="000329A8" w:rsidRPr="009D39E3">
              <w:t>issues</w:t>
            </w:r>
            <w:r w:rsidR="000329A8">
              <w:t>; i</w:t>
            </w:r>
            <w:r w:rsidR="000329A8" w:rsidRPr="009D39E3">
              <w:t xml:space="preserve">n mature programmes, attention might turn </w:t>
            </w:r>
            <w:r w:rsidR="000329A8" w:rsidRPr="009D39E3">
              <w:lastRenderedPageBreak/>
              <w:t xml:space="preserve">to </w:t>
            </w:r>
            <w:r w:rsidR="000329A8">
              <w:t xml:space="preserve">testing conditions under which outcomes are optimised). </w:t>
            </w:r>
          </w:p>
          <w:p w14:paraId="3D03D64F" w14:textId="7CC99632" w:rsidR="00C1409E" w:rsidRPr="00923C4A" w:rsidRDefault="00D912CE" w:rsidP="001C5A91">
            <w:pPr>
              <w:pStyle w:val="ListParagraph"/>
              <w:numPr>
                <w:ilvl w:val="0"/>
                <w:numId w:val="13"/>
              </w:numPr>
            </w:pPr>
            <w:r>
              <w:t>Agree the tim</w:t>
            </w:r>
            <w:r w:rsidR="002F7603">
              <w:t>elines for evaluating</w:t>
            </w:r>
            <w:r w:rsidR="00C1409E">
              <w:t xml:space="preserve"> </w:t>
            </w:r>
            <w:r w:rsidR="00EA021F">
              <w:t xml:space="preserve">results. </w:t>
            </w:r>
          </w:p>
        </w:tc>
        <w:tc>
          <w:tcPr>
            <w:tcW w:w="4111" w:type="dxa"/>
          </w:tcPr>
          <w:p w14:paraId="5706A408" w14:textId="48990200" w:rsidR="003064B4" w:rsidRDefault="003064B4" w:rsidP="001C5A91">
            <w:pPr>
              <w:pStyle w:val="ListParagraph"/>
              <w:numPr>
                <w:ilvl w:val="0"/>
                <w:numId w:val="14"/>
              </w:numPr>
            </w:pPr>
            <w:r>
              <w:lastRenderedPageBreak/>
              <w:t>J</w:t>
            </w:r>
            <w:r w:rsidRPr="000B358F">
              <w:t>udgement</w:t>
            </w:r>
            <w:r>
              <w:t xml:space="preserve">s may need to be made </w:t>
            </w:r>
            <w:r w:rsidRPr="000B358F">
              <w:t xml:space="preserve">about the feasibility and utility of evaluations to answer different questions at different times (for example, can the question be answered sufficiently well and in a timely way to </w:t>
            </w:r>
            <w:r w:rsidRPr="000B358F">
              <w:lastRenderedPageBreak/>
              <w:t xml:space="preserve">inform </w:t>
            </w:r>
            <w:proofErr w:type="gramStart"/>
            <w:r w:rsidRPr="000B358F">
              <w:t>actions</w:t>
            </w:r>
            <w:r>
              <w:t>?</w:t>
            </w:r>
            <w:r w:rsidRPr="000B358F">
              <w:t>;</w:t>
            </w:r>
            <w:proofErr w:type="gramEnd"/>
            <w:r w:rsidRPr="000B358F">
              <w:t xml:space="preserve"> is it worth the cost</w:t>
            </w:r>
            <w:r>
              <w:t>?</w:t>
            </w:r>
            <w:r w:rsidRPr="000B358F">
              <w:t>; have the evaluation users identified the question as important</w:t>
            </w:r>
            <w:r>
              <w:t>? etc</w:t>
            </w:r>
            <w:r w:rsidRPr="000B358F">
              <w:t xml:space="preserve">). </w:t>
            </w:r>
          </w:p>
          <w:p w14:paraId="5F2E1AE1" w14:textId="4DF36BB8" w:rsidR="00C1409E" w:rsidRPr="000B358F" w:rsidRDefault="00F04EA1" w:rsidP="001C5A91">
            <w:pPr>
              <w:pStyle w:val="ListParagraph"/>
              <w:numPr>
                <w:ilvl w:val="0"/>
                <w:numId w:val="14"/>
              </w:numPr>
            </w:pPr>
            <w:r>
              <w:t>A</w:t>
            </w:r>
            <w:r w:rsidR="00C1409E" w:rsidRPr="000B358F">
              <w:t>gree</w:t>
            </w:r>
            <w:r>
              <w:t>ing</w:t>
            </w:r>
            <w:r w:rsidR="00C1409E" w:rsidRPr="000B358F">
              <w:t xml:space="preserve"> how to phrase evaluation questions </w:t>
            </w:r>
            <w:r>
              <w:t xml:space="preserve">needs discussion and revision to ensure that </w:t>
            </w:r>
            <w:proofErr w:type="gramStart"/>
            <w:r>
              <w:t xml:space="preserve">they </w:t>
            </w:r>
            <w:r w:rsidR="00C1409E" w:rsidRPr="000B358F">
              <w:t xml:space="preserve"> can</w:t>
            </w:r>
            <w:proofErr w:type="gramEnd"/>
            <w:r w:rsidR="00C1409E" w:rsidRPr="000B358F">
              <w:t xml:space="preserve"> be answered, and the answer is not pre-determined by the question. </w:t>
            </w:r>
          </w:p>
          <w:p w14:paraId="574163D3" w14:textId="741CC411" w:rsidR="00C1409E" w:rsidRPr="003064B4" w:rsidRDefault="00C1409E" w:rsidP="001C5A91">
            <w:pPr>
              <w:pStyle w:val="ListParagraph"/>
              <w:numPr>
                <w:ilvl w:val="0"/>
                <w:numId w:val="14"/>
              </w:numPr>
            </w:pPr>
            <w:r>
              <w:t>P</w:t>
            </w:r>
            <w:r w:rsidRPr="000B358F">
              <w:t>rioritis</w:t>
            </w:r>
            <w:r>
              <w:t>ation may be needed (</w:t>
            </w:r>
            <w:r w:rsidRPr="000B358F">
              <w:t>no evaluation can look at everything</w:t>
            </w:r>
            <w:r>
              <w:t xml:space="preserve">). </w:t>
            </w:r>
          </w:p>
        </w:tc>
        <w:tc>
          <w:tcPr>
            <w:tcW w:w="3968" w:type="dxa"/>
          </w:tcPr>
          <w:p w14:paraId="79AE5BCF" w14:textId="5E483F8A" w:rsidR="00C1409E" w:rsidRPr="00884BCB" w:rsidRDefault="00C1409E" w:rsidP="00C93B2F">
            <w:pPr>
              <w:rPr>
                <w:rFonts w:ascii="Gill Sans MT" w:hAnsi="Gill Sans MT"/>
                <w:color w:val="000000" w:themeColor="text1"/>
                <w:spacing w:val="-2"/>
                <w:sz w:val="20"/>
                <w:szCs w:val="20"/>
              </w:rPr>
            </w:pPr>
            <w:r w:rsidRPr="00884BCB">
              <w:rPr>
                <w:rFonts w:ascii="Gill Sans MT" w:hAnsi="Gill Sans MT"/>
                <w:color w:val="000000" w:themeColor="text1"/>
                <w:spacing w:val="-2"/>
                <w:sz w:val="20"/>
                <w:szCs w:val="20"/>
              </w:rPr>
              <w:lastRenderedPageBreak/>
              <w:t xml:space="preserve">Guidance on developing evaluation questions </w:t>
            </w:r>
            <w:r w:rsidR="00575BB9">
              <w:rPr>
                <w:rFonts w:ascii="Gill Sans MT" w:hAnsi="Gill Sans MT"/>
                <w:color w:val="000000" w:themeColor="text1"/>
                <w:spacing w:val="-2"/>
                <w:sz w:val="20"/>
                <w:szCs w:val="20"/>
              </w:rPr>
              <w:t>(based on the P</w:t>
            </w:r>
            <w:r w:rsidRPr="00884BCB">
              <w:rPr>
                <w:rFonts w:ascii="Gill Sans MT" w:hAnsi="Gill Sans MT"/>
                <w:color w:val="000000" w:themeColor="text1"/>
                <w:spacing w:val="-2"/>
                <w:sz w:val="20"/>
                <w:szCs w:val="20"/>
              </w:rPr>
              <w:t>ARSEC framework</w:t>
            </w:r>
            <w:r w:rsidR="00C93B2F">
              <w:rPr>
                <w:rFonts w:ascii="Gill Sans MT" w:hAnsi="Gill Sans MT"/>
                <w:color w:val="000000" w:themeColor="text1"/>
                <w:spacing w:val="-2"/>
                <w:sz w:val="20"/>
                <w:szCs w:val="20"/>
              </w:rPr>
              <w:t>)</w:t>
            </w:r>
            <w:r w:rsidR="00C93B2F">
              <w:rPr>
                <w:rStyle w:val="FootnoteReference"/>
                <w:rFonts w:ascii="Gill Sans MT" w:hAnsi="Gill Sans MT"/>
                <w:color w:val="000000" w:themeColor="text1"/>
                <w:spacing w:val="-2"/>
                <w:sz w:val="20"/>
                <w:szCs w:val="20"/>
              </w:rPr>
              <w:footnoteReference w:id="2"/>
            </w:r>
          </w:p>
          <w:p w14:paraId="4571020B" w14:textId="77777777" w:rsidR="00C1409E" w:rsidRDefault="00C1409E" w:rsidP="00C1409E">
            <w:pPr>
              <w:rPr>
                <w:rFonts w:ascii="Gill Sans MT" w:hAnsi="Gill Sans MT"/>
                <w:color w:val="000000" w:themeColor="text1"/>
                <w:spacing w:val="-2"/>
                <w:sz w:val="20"/>
                <w:szCs w:val="20"/>
              </w:rPr>
            </w:pPr>
          </w:p>
          <w:p w14:paraId="029F684D" w14:textId="1B361172" w:rsidR="00C1409E" w:rsidRPr="00C25316" w:rsidRDefault="00C1409E" w:rsidP="00C1409E">
            <w:pPr>
              <w:rPr>
                <w:rFonts w:ascii="Gill Sans MT" w:hAnsi="Gill Sans MT"/>
                <w:color w:val="000000" w:themeColor="text1"/>
                <w:spacing w:val="-2"/>
                <w:sz w:val="20"/>
                <w:szCs w:val="20"/>
              </w:rPr>
            </w:pPr>
            <w:r w:rsidRPr="00884BCB">
              <w:rPr>
                <w:rFonts w:ascii="Gill Sans MT" w:hAnsi="Gill Sans MT"/>
                <w:color w:val="000000" w:themeColor="text1"/>
                <w:spacing w:val="-2"/>
                <w:sz w:val="20"/>
                <w:szCs w:val="20"/>
              </w:rPr>
              <w:t xml:space="preserve">Linking </w:t>
            </w:r>
            <w:hyperlink r:id="rId30" w:history="1">
              <w:r w:rsidRPr="00F462F6">
                <w:rPr>
                  <w:rStyle w:val="Hyperlink"/>
                  <w:rFonts w:ascii="Gill Sans MT" w:hAnsi="Gill Sans MT"/>
                  <w:spacing w:val="-2"/>
                  <w:kern w:val="2"/>
                  <w:sz w:val="20"/>
                  <w:szCs w:val="20"/>
                  <w14:ligatures w14:val="standardContextual"/>
                </w:rPr>
                <w:t>theory of change</w:t>
              </w:r>
            </w:hyperlink>
            <w:r w:rsidRPr="00884BCB">
              <w:rPr>
                <w:rFonts w:ascii="Gill Sans MT" w:hAnsi="Gill Sans MT"/>
                <w:color w:val="000000" w:themeColor="text1"/>
                <w:spacing w:val="-2"/>
                <w:sz w:val="20"/>
                <w:szCs w:val="20"/>
              </w:rPr>
              <w:t xml:space="preserve"> to evaluation</w:t>
            </w:r>
          </w:p>
        </w:tc>
      </w:tr>
      <w:tr w:rsidR="00822CAA" w:rsidRPr="00C25316" w14:paraId="0E0292A7" w14:textId="77777777" w:rsidTr="00715C2A">
        <w:tc>
          <w:tcPr>
            <w:tcW w:w="3256" w:type="dxa"/>
          </w:tcPr>
          <w:p w14:paraId="5EE23CF8" w14:textId="27DE8833" w:rsidR="00822CAA" w:rsidRDefault="00822CAA" w:rsidP="00822CAA">
            <w:pPr>
              <w:rPr>
                <w:rFonts w:ascii="Gill Sans MT" w:hAnsi="Gill Sans MT"/>
                <w:color w:val="000000" w:themeColor="text1"/>
                <w:spacing w:val="-2"/>
                <w:sz w:val="20"/>
                <w:szCs w:val="20"/>
              </w:rPr>
            </w:pPr>
            <w:r>
              <w:rPr>
                <w:rFonts w:ascii="Gill Sans MT" w:hAnsi="Gill Sans MT"/>
                <w:color w:val="000000" w:themeColor="text1"/>
                <w:spacing w:val="-2"/>
                <w:sz w:val="20"/>
                <w:szCs w:val="20"/>
              </w:rPr>
              <w:t xml:space="preserve">Step 7) </w:t>
            </w:r>
            <w:r w:rsidRPr="00554C74">
              <w:rPr>
                <w:rFonts w:ascii="Gill Sans MT" w:hAnsi="Gill Sans MT"/>
                <w:color w:val="000000" w:themeColor="text1"/>
                <w:spacing w:val="-2"/>
                <w:sz w:val="20"/>
                <w:szCs w:val="20"/>
              </w:rPr>
              <w:t>Define the evaluation design</w:t>
            </w:r>
            <w:r w:rsidR="000D3486">
              <w:rPr>
                <w:rFonts w:ascii="Gill Sans MT" w:hAnsi="Gill Sans MT"/>
                <w:color w:val="000000" w:themeColor="text1"/>
                <w:spacing w:val="-2"/>
                <w:sz w:val="20"/>
                <w:szCs w:val="20"/>
              </w:rPr>
              <w:t xml:space="preserve"> </w:t>
            </w:r>
            <w:r w:rsidR="000D3486">
              <w:rPr>
                <w:rFonts w:ascii="Gill Sans MT" w:hAnsi="Gill Sans MT" w:cs="Arial"/>
                <w:spacing w:val="-2"/>
                <w:sz w:val="20"/>
              </w:rPr>
              <w:t xml:space="preserve">(i.e. </w:t>
            </w:r>
            <w:r w:rsidR="000D3486" w:rsidRPr="00AD2528">
              <w:rPr>
                <w:rFonts w:ascii="Gill Sans MT" w:hAnsi="Gill Sans MT" w:cs="Arial"/>
                <w:spacing w:val="-2"/>
                <w:sz w:val="20"/>
              </w:rPr>
              <w:t xml:space="preserve">the approach to </w:t>
            </w:r>
            <w:r w:rsidR="000D3486">
              <w:rPr>
                <w:rFonts w:ascii="Gill Sans MT" w:hAnsi="Gill Sans MT" w:cs="Arial"/>
                <w:spacing w:val="-2"/>
                <w:sz w:val="20"/>
              </w:rPr>
              <w:t>how evidence will be analysed)</w:t>
            </w:r>
            <w:r w:rsidRPr="00554C74">
              <w:rPr>
                <w:rFonts w:ascii="Gill Sans MT" w:hAnsi="Gill Sans MT"/>
                <w:color w:val="000000" w:themeColor="text1"/>
                <w:spacing w:val="-2"/>
                <w:sz w:val="20"/>
                <w:szCs w:val="20"/>
              </w:rPr>
              <w:t xml:space="preserve"> based on the evaluation questions</w:t>
            </w:r>
          </w:p>
          <w:p w14:paraId="2849EE81" w14:textId="77777777" w:rsidR="00822CAA" w:rsidRDefault="00822CAA" w:rsidP="00822CAA"/>
          <w:p w14:paraId="374FA0BB" w14:textId="7BEB9318" w:rsidR="00822CAA" w:rsidRPr="00C81A73" w:rsidRDefault="00AD2528" w:rsidP="00C81A73">
            <w:r>
              <w:rPr>
                <w:rFonts w:ascii="Gill Sans MT" w:hAnsi="Gill Sans MT" w:cs="Arial"/>
                <w:spacing w:val="-2"/>
                <w:sz w:val="20"/>
              </w:rPr>
              <w:t xml:space="preserve">Rationale: </w:t>
            </w:r>
            <w:r w:rsidRPr="00AD2528">
              <w:rPr>
                <w:rFonts w:ascii="Gill Sans MT" w:hAnsi="Gill Sans MT" w:cs="Arial"/>
                <w:spacing w:val="-2"/>
                <w:sz w:val="20"/>
              </w:rPr>
              <w:t xml:space="preserve">The </w:t>
            </w:r>
            <w:r w:rsidR="000D3486">
              <w:rPr>
                <w:rFonts w:ascii="Gill Sans MT" w:hAnsi="Gill Sans MT" w:cs="Arial"/>
                <w:spacing w:val="-2"/>
                <w:sz w:val="20"/>
              </w:rPr>
              <w:t xml:space="preserve">evaluation </w:t>
            </w:r>
            <w:r w:rsidRPr="00AD2528">
              <w:rPr>
                <w:rFonts w:ascii="Gill Sans MT" w:hAnsi="Gill Sans MT" w:cs="Arial"/>
                <w:spacing w:val="-2"/>
                <w:sz w:val="20"/>
              </w:rPr>
              <w:t>design is crucially important</w:t>
            </w:r>
            <w:r w:rsidR="00DF7816">
              <w:rPr>
                <w:rFonts w:ascii="Gill Sans MT" w:hAnsi="Gill Sans MT" w:cs="Arial"/>
                <w:spacing w:val="-2"/>
                <w:sz w:val="20"/>
              </w:rPr>
              <w:t xml:space="preserve">, not only to </w:t>
            </w:r>
            <w:r w:rsidR="000D5292">
              <w:rPr>
                <w:rFonts w:ascii="Gill Sans MT" w:hAnsi="Gill Sans MT" w:cs="Arial"/>
                <w:spacing w:val="-2"/>
                <w:sz w:val="20"/>
              </w:rPr>
              <w:t>answer</w:t>
            </w:r>
            <w:r w:rsidR="00DF7816">
              <w:rPr>
                <w:rFonts w:ascii="Gill Sans MT" w:hAnsi="Gill Sans MT" w:cs="Arial"/>
                <w:spacing w:val="-2"/>
                <w:sz w:val="20"/>
              </w:rPr>
              <w:t>ing</w:t>
            </w:r>
            <w:r w:rsidR="000D5292">
              <w:rPr>
                <w:rFonts w:ascii="Gill Sans MT" w:hAnsi="Gill Sans MT" w:cs="Arial"/>
                <w:spacing w:val="-2"/>
                <w:sz w:val="20"/>
              </w:rPr>
              <w:t xml:space="preserve"> the</w:t>
            </w:r>
            <w:r w:rsidRPr="00AD2528">
              <w:rPr>
                <w:rFonts w:ascii="Gill Sans MT" w:hAnsi="Gill Sans MT" w:cs="Arial"/>
                <w:spacing w:val="-2"/>
                <w:sz w:val="20"/>
              </w:rPr>
              <w:t xml:space="preserve"> evaluation questions</w:t>
            </w:r>
            <w:r w:rsidR="00DF7816">
              <w:rPr>
                <w:rFonts w:ascii="Gill Sans MT" w:hAnsi="Gill Sans MT" w:cs="Arial"/>
                <w:spacing w:val="-2"/>
                <w:sz w:val="20"/>
              </w:rPr>
              <w:t xml:space="preserve"> but also to</w:t>
            </w:r>
            <w:r w:rsidR="000D5292">
              <w:rPr>
                <w:rFonts w:ascii="Gill Sans MT" w:hAnsi="Gill Sans MT" w:cs="Arial"/>
                <w:spacing w:val="-2"/>
                <w:sz w:val="20"/>
              </w:rPr>
              <w:t xml:space="preserve"> take account of </w:t>
            </w:r>
            <w:r w:rsidRPr="00AD2528">
              <w:rPr>
                <w:rFonts w:ascii="Gill Sans MT" w:hAnsi="Gill Sans MT" w:cs="Arial"/>
                <w:spacing w:val="-2"/>
                <w:sz w:val="20"/>
              </w:rPr>
              <w:t>considerations, such as resources, timeliness, data availability</w:t>
            </w:r>
            <w:r w:rsidR="00DF7816">
              <w:rPr>
                <w:rFonts w:ascii="Gill Sans MT" w:hAnsi="Gill Sans MT" w:cs="Arial"/>
                <w:spacing w:val="-2"/>
                <w:sz w:val="20"/>
              </w:rPr>
              <w:t>, expertise</w:t>
            </w:r>
            <w:r w:rsidRPr="00C81A73">
              <w:rPr>
                <w:rFonts w:ascii="Gill Sans MT" w:hAnsi="Gill Sans MT" w:cs="Arial"/>
                <w:spacing w:val="-2"/>
                <w:sz w:val="20"/>
              </w:rPr>
              <w:t>.</w:t>
            </w:r>
            <w:r w:rsidR="00C81A73" w:rsidRPr="00C81A73">
              <w:rPr>
                <w:rFonts w:ascii="Gill Sans MT" w:hAnsi="Gill Sans MT" w:cs="Arial"/>
                <w:spacing w:val="-2"/>
                <w:sz w:val="20"/>
              </w:rPr>
              <w:t xml:space="preserve"> </w:t>
            </w:r>
          </w:p>
          <w:p w14:paraId="04D605EC" w14:textId="77777777" w:rsidR="00822CAA" w:rsidRPr="00554C74" w:rsidRDefault="00822CAA" w:rsidP="00822CAA">
            <w:pPr>
              <w:rPr>
                <w:rFonts w:ascii="Gill Sans MT" w:hAnsi="Gill Sans MT"/>
                <w:color w:val="000000" w:themeColor="text1"/>
                <w:spacing w:val="-2"/>
                <w:sz w:val="20"/>
                <w:szCs w:val="20"/>
              </w:rPr>
            </w:pPr>
          </w:p>
          <w:p w14:paraId="21ADD600" w14:textId="77777777" w:rsidR="00822CAA" w:rsidRDefault="00822CAA" w:rsidP="00822CAA">
            <w:pPr>
              <w:rPr>
                <w:rFonts w:ascii="Gill Sans MT" w:hAnsi="Gill Sans MT"/>
                <w:color w:val="000000" w:themeColor="text1"/>
                <w:spacing w:val="-2"/>
                <w:sz w:val="20"/>
                <w:szCs w:val="20"/>
              </w:rPr>
            </w:pPr>
          </w:p>
          <w:p w14:paraId="0C257BA8" w14:textId="0A4B3188" w:rsidR="00822CAA" w:rsidRDefault="00822CAA" w:rsidP="00822CAA">
            <w:pPr>
              <w:rPr>
                <w:rFonts w:ascii="Gill Sans MT" w:hAnsi="Gill Sans MT"/>
                <w:color w:val="000000" w:themeColor="text1"/>
                <w:spacing w:val="-2"/>
                <w:sz w:val="20"/>
                <w:szCs w:val="20"/>
              </w:rPr>
            </w:pPr>
          </w:p>
        </w:tc>
        <w:tc>
          <w:tcPr>
            <w:tcW w:w="4111" w:type="dxa"/>
          </w:tcPr>
          <w:p w14:paraId="3837C59B" w14:textId="47A6CEB2" w:rsidR="00822CAA" w:rsidRPr="008B4A1A" w:rsidRDefault="00822CAA" w:rsidP="001C5A91">
            <w:pPr>
              <w:pStyle w:val="ListParagraph"/>
              <w:numPr>
                <w:ilvl w:val="0"/>
                <w:numId w:val="15"/>
              </w:numPr>
            </w:pPr>
            <w:r>
              <w:t>A</w:t>
            </w:r>
            <w:r w:rsidRPr="00562783">
              <w:t xml:space="preserve">gree the evaluation design </w:t>
            </w:r>
            <w:r w:rsidR="008B4A1A">
              <w:t xml:space="preserve">making sure the </w:t>
            </w:r>
            <w:r w:rsidRPr="008B4A1A">
              <w:t xml:space="preserve">implications of the design for the claims that you can make </w:t>
            </w:r>
            <w:r w:rsidR="00A1696A" w:rsidRPr="008B4A1A">
              <w:t xml:space="preserve">from </w:t>
            </w:r>
            <w:r w:rsidRPr="008B4A1A">
              <w:t>evaluation</w:t>
            </w:r>
            <w:r w:rsidR="008B4A1A">
              <w:t xml:space="preserve"> is understood</w:t>
            </w:r>
            <w:r w:rsidRPr="008B4A1A">
              <w:t xml:space="preserve">. </w:t>
            </w:r>
          </w:p>
          <w:p w14:paraId="7012C9D1" w14:textId="3A75512D" w:rsidR="00BF2A50" w:rsidRDefault="00B3163B" w:rsidP="001C5A91">
            <w:pPr>
              <w:pStyle w:val="ListParagraph"/>
              <w:numPr>
                <w:ilvl w:val="0"/>
                <w:numId w:val="15"/>
              </w:numPr>
            </w:pPr>
            <w:r>
              <w:t xml:space="preserve">Specify </w:t>
            </w:r>
            <w:r w:rsidR="00822CAA" w:rsidRPr="009419F2">
              <w:t xml:space="preserve">what’s </w:t>
            </w:r>
            <w:r w:rsidR="003747CD">
              <w:t>needed to implement</w:t>
            </w:r>
            <w:r w:rsidR="00822CAA" w:rsidRPr="009419F2">
              <w:t xml:space="preserve"> the design</w:t>
            </w:r>
            <w:r>
              <w:t xml:space="preserve"> in terms of data</w:t>
            </w:r>
            <w:r w:rsidR="00822CAA" w:rsidRPr="009419F2">
              <w:t xml:space="preserve"> </w:t>
            </w:r>
            <w:r w:rsidR="00822CAA">
              <w:t>(e.g.</w:t>
            </w:r>
            <w:r w:rsidR="00822CAA" w:rsidRPr="009419F2">
              <w:t xml:space="preserve"> </w:t>
            </w:r>
            <w:r w:rsidR="001A45DF">
              <w:t xml:space="preserve">types of data, </w:t>
            </w:r>
            <w:r w:rsidR="00822CAA" w:rsidRPr="009419F2">
              <w:t>sample sizes required for different research designs</w:t>
            </w:r>
            <w:r w:rsidR="00BF2A50">
              <w:t>)</w:t>
            </w:r>
            <w:r>
              <w:t xml:space="preserve"> and expertise</w:t>
            </w:r>
            <w:r w:rsidR="00BF2A50">
              <w:t>.</w:t>
            </w:r>
          </w:p>
          <w:p w14:paraId="15058D1D" w14:textId="17C41982" w:rsidR="00822CAA" w:rsidRPr="009419F2" w:rsidRDefault="00BF2A50" w:rsidP="001C5A91">
            <w:pPr>
              <w:pStyle w:val="ListParagraph"/>
              <w:numPr>
                <w:ilvl w:val="0"/>
                <w:numId w:val="15"/>
              </w:numPr>
            </w:pPr>
            <w:r>
              <w:t>En</w:t>
            </w:r>
            <w:r w:rsidR="00822CAA" w:rsidRPr="009419F2">
              <w:t xml:space="preserve">sure that the resources and expertise </w:t>
            </w:r>
            <w:r w:rsidR="0012356C">
              <w:t xml:space="preserve">required by the design </w:t>
            </w:r>
            <w:r w:rsidR="007A2BCE">
              <w:t xml:space="preserve">are </w:t>
            </w:r>
            <w:r w:rsidR="00822CAA" w:rsidRPr="009419F2">
              <w:t>available</w:t>
            </w:r>
            <w:r w:rsidR="0012356C">
              <w:t xml:space="preserve"> and mobilised</w:t>
            </w:r>
            <w:r w:rsidR="00822CAA" w:rsidRPr="009419F2">
              <w:t xml:space="preserve">. </w:t>
            </w:r>
          </w:p>
        </w:tc>
        <w:tc>
          <w:tcPr>
            <w:tcW w:w="4111" w:type="dxa"/>
          </w:tcPr>
          <w:p w14:paraId="2464A057" w14:textId="6126F326" w:rsidR="008B4A1A" w:rsidRPr="008B4A1A" w:rsidRDefault="008B4A1A" w:rsidP="001C5A91">
            <w:pPr>
              <w:pStyle w:val="ListParagraph"/>
              <w:numPr>
                <w:ilvl w:val="0"/>
                <w:numId w:val="16"/>
              </w:numPr>
            </w:pPr>
            <w:r>
              <w:t>Data availability and expertise will vary so</w:t>
            </w:r>
            <w:r w:rsidRPr="00C81A73">
              <w:t xml:space="preserve"> it can be challenging to work through the different options.</w:t>
            </w:r>
          </w:p>
          <w:p w14:paraId="3C074B5F" w14:textId="4521ED67" w:rsidR="00822CAA" w:rsidRPr="00B25AD5" w:rsidRDefault="0012356C" w:rsidP="001C5A91">
            <w:pPr>
              <w:pStyle w:val="ListParagraph"/>
              <w:numPr>
                <w:ilvl w:val="0"/>
                <w:numId w:val="16"/>
              </w:numPr>
            </w:pPr>
            <w:r>
              <w:t>E</w:t>
            </w:r>
            <w:r w:rsidR="00822CAA" w:rsidRPr="00B63FE7">
              <w:t xml:space="preserve">valuation stakeholders </w:t>
            </w:r>
            <w:r>
              <w:t xml:space="preserve">might need to be educated </w:t>
            </w:r>
            <w:r w:rsidR="00822CAA" w:rsidRPr="00B63FE7">
              <w:t xml:space="preserve">about the options </w:t>
            </w:r>
            <w:r w:rsidR="00822CAA">
              <w:t>(</w:t>
            </w:r>
            <w:r w:rsidR="00822CAA" w:rsidRPr="00B63FE7">
              <w:t>and the methods debates that affect choice</w:t>
            </w:r>
            <w:r>
              <w:t>s</w:t>
            </w:r>
            <w:r w:rsidR="00822CAA">
              <w:t>)</w:t>
            </w:r>
            <w:r w:rsidR="00822CAA" w:rsidRPr="00B63FE7">
              <w:t>.</w:t>
            </w:r>
            <w:r w:rsidR="0069550C">
              <w:rPr>
                <w:rStyle w:val="FootnoteReference"/>
              </w:rPr>
              <w:footnoteReference w:id="3"/>
            </w:r>
            <w:r w:rsidR="00822CAA" w:rsidRPr="00B63FE7">
              <w:t xml:space="preserve"> </w:t>
            </w:r>
          </w:p>
          <w:p w14:paraId="1103440A" w14:textId="6CB2A502" w:rsidR="00822CAA" w:rsidRPr="00FB43E2" w:rsidRDefault="00822CAA" w:rsidP="001C5A91">
            <w:pPr>
              <w:pStyle w:val="ListParagraph"/>
              <w:numPr>
                <w:ilvl w:val="0"/>
                <w:numId w:val="16"/>
              </w:numPr>
            </w:pPr>
            <w:r w:rsidRPr="00FB43E2">
              <w:t xml:space="preserve">In some cases a good result might be to prevent a worsening situation rather than generating progress </w:t>
            </w:r>
            <w:r w:rsidR="00636F47">
              <w:t>so the design might need to take this into account</w:t>
            </w:r>
            <w:r w:rsidRPr="00FB43E2">
              <w:t>.</w:t>
            </w:r>
          </w:p>
        </w:tc>
        <w:tc>
          <w:tcPr>
            <w:tcW w:w="3968" w:type="dxa"/>
          </w:tcPr>
          <w:p w14:paraId="0ACFB362" w14:textId="477C9DD4" w:rsidR="00822CAA" w:rsidRPr="00554C74" w:rsidRDefault="00822CAA" w:rsidP="00822CAA">
            <w:pPr>
              <w:rPr>
                <w:rFonts w:ascii="Gill Sans MT" w:hAnsi="Gill Sans MT"/>
                <w:color w:val="000000" w:themeColor="text1"/>
                <w:spacing w:val="-2"/>
                <w:sz w:val="20"/>
                <w:szCs w:val="20"/>
              </w:rPr>
            </w:pPr>
            <w:r w:rsidRPr="00554C74">
              <w:rPr>
                <w:rFonts w:ascii="Gill Sans MT" w:hAnsi="Gill Sans MT"/>
                <w:color w:val="000000" w:themeColor="text1"/>
                <w:spacing w:val="-2"/>
                <w:sz w:val="20"/>
                <w:szCs w:val="20"/>
              </w:rPr>
              <w:t xml:space="preserve">NERUPI guidance on theory-driven evaluation approaches included </w:t>
            </w:r>
            <w:hyperlink r:id="rId31" w:history="1">
              <w:r w:rsidRPr="00D6708A">
                <w:rPr>
                  <w:rStyle w:val="Hyperlink"/>
                  <w:rFonts w:ascii="Gill Sans MT" w:hAnsi="Gill Sans MT"/>
                  <w:spacing w:val="-2"/>
                  <w:kern w:val="2"/>
                  <w:sz w:val="20"/>
                  <w:szCs w:val="20"/>
                  <w14:ligatures w14:val="standardContextual"/>
                </w:rPr>
                <w:t>methods guides</w:t>
              </w:r>
            </w:hyperlink>
            <w:r w:rsidRPr="00554C74">
              <w:rPr>
                <w:rFonts w:ascii="Gill Sans MT" w:hAnsi="Gill Sans MT"/>
                <w:color w:val="000000" w:themeColor="text1"/>
                <w:spacing w:val="-2"/>
                <w:sz w:val="20"/>
                <w:szCs w:val="20"/>
              </w:rPr>
              <w:t xml:space="preserve"> on: Comparative case study analysis; Realist evaluation; Process tracing; Qualitative comparative analysis; Contribution analysis. </w:t>
            </w:r>
          </w:p>
          <w:p w14:paraId="5D216415" w14:textId="77777777" w:rsidR="00822CAA" w:rsidRPr="00554C74" w:rsidRDefault="00822CAA" w:rsidP="00822CAA">
            <w:pPr>
              <w:rPr>
                <w:rFonts w:ascii="Gill Sans MT" w:hAnsi="Gill Sans MT"/>
                <w:color w:val="000000" w:themeColor="text1"/>
                <w:spacing w:val="-2"/>
                <w:sz w:val="20"/>
                <w:szCs w:val="20"/>
              </w:rPr>
            </w:pPr>
            <w:r w:rsidRPr="00554C74">
              <w:rPr>
                <w:rFonts w:ascii="Gill Sans MT" w:hAnsi="Gill Sans MT"/>
                <w:color w:val="000000" w:themeColor="text1"/>
                <w:spacing w:val="-2"/>
                <w:sz w:val="20"/>
                <w:szCs w:val="20"/>
              </w:rPr>
              <w:t>NERUPI guidance on process evaluation</w:t>
            </w:r>
          </w:p>
          <w:p w14:paraId="4555F771" w14:textId="5AC65E3E" w:rsidR="00822CAA" w:rsidRPr="00884BCB" w:rsidRDefault="00822CAA" w:rsidP="00822CAA">
            <w:pPr>
              <w:rPr>
                <w:rFonts w:ascii="Gill Sans MT" w:hAnsi="Gill Sans MT"/>
                <w:color w:val="000000" w:themeColor="text1"/>
                <w:spacing w:val="-2"/>
                <w:sz w:val="20"/>
                <w:szCs w:val="20"/>
              </w:rPr>
            </w:pPr>
            <w:r w:rsidRPr="00554C74">
              <w:rPr>
                <w:rFonts w:ascii="Gill Sans MT" w:hAnsi="Gill Sans MT"/>
                <w:color w:val="000000" w:themeColor="text1"/>
                <w:spacing w:val="-2"/>
                <w:sz w:val="20"/>
                <w:szCs w:val="20"/>
              </w:rPr>
              <w:t xml:space="preserve">NERUPI guidance on impact evaluation discusses different types of research designs for attributing impact. </w:t>
            </w:r>
            <w:hyperlink r:id="rId32" w:history="1">
              <w:r w:rsidRPr="00090534">
                <w:rPr>
                  <w:rStyle w:val="Hyperlink"/>
                  <w:rFonts w:ascii="Gill Sans MT" w:hAnsi="Gill Sans MT"/>
                  <w:spacing w:val="-2"/>
                  <w:kern w:val="2"/>
                  <w:sz w:val="20"/>
                  <w:szCs w:val="20"/>
                  <w14:ligatures w14:val="standardContextual"/>
                </w:rPr>
                <w:t>Methods guides</w:t>
              </w:r>
            </w:hyperlink>
            <w:r w:rsidRPr="00554C74">
              <w:rPr>
                <w:rFonts w:ascii="Gill Sans MT" w:hAnsi="Gill Sans MT"/>
                <w:color w:val="000000" w:themeColor="text1"/>
                <w:spacing w:val="-2"/>
                <w:sz w:val="20"/>
                <w:szCs w:val="20"/>
              </w:rPr>
              <w:t xml:space="preserve"> are also available on the following: mixed methods; experimental and quasi-experimental methods.</w:t>
            </w:r>
          </w:p>
        </w:tc>
      </w:tr>
      <w:tr w:rsidR="00C1409E" w:rsidRPr="00C25316" w14:paraId="0CB12F14" w14:textId="77777777" w:rsidTr="00715C2A">
        <w:tc>
          <w:tcPr>
            <w:tcW w:w="3256" w:type="dxa"/>
          </w:tcPr>
          <w:p w14:paraId="58D0D146" w14:textId="3D0645B2" w:rsidR="00C1409E" w:rsidRDefault="00C1409E"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t>Step 8) Select indicators and measures</w:t>
            </w:r>
            <w:r w:rsidR="003C0D39">
              <w:rPr>
                <w:rFonts w:ascii="Gill Sans MT" w:hAnsi="Gill Sans MT"/>
                <w:color w:val="000000" w:themeColor="text1"/>
                <w:spacing w:val="-2"/>
                <w:sz w:val="20"/>
                <w:szCs w:val="20"/>
              </w:rPr>
              <w:t xml:space="preserve"> </w:t>
            </w:r>
            <w:r w:rsidR="002B20D5">
              <w:rPr>
                <w:rFonts w:ascii="Gill Sans MT" w:hAnsi="Gill Sans MT"/>
                <w:color w:val="000000" w:themeColor="text1"/>
                <w:spacing w:val="-2"/>
                <w:sz w:val="20"/>
                <w:szCs w:val="20"/>
              </w:rPr>
              <w:t>for</w:t>
            </w:r>
            <w:r w:rsidR="003C0D39">
              <w:rPr>
                <w:rFonts w:ascii="Gill Sans MT" w:hAnsi="Gill Sans MT"/>
                <w:color w:val="000000" w:themeColor="text1"/>
                <w:spacing w:val="-2"/>
                <w:sz w:val="20"/>
                <w:szCs w:val="20"/>
              </w:rPr>
              <w:t xml:space="preserve"> </w:t>
            </w:r>
            <w:r w:rsidR="002B20D5">
              <w:rPr>
                <w:rFonts w:ascii="Gill Sans MT" w:hAnsi="Gill Sans MT"/>
                <w:color w:val="000000" w:themeColor="text1"/>
                <w:spacing w:val="-2"/>
                <w:sz w:val="20"/>
                <w:szCs w:val="20"/>
              </w:rPr>
              <w:t>people-</w:t>
            </w:r>
            <w:r w:rsidR="00817766">
              <w:rPr>
                <w:rFonts w:ascii="Gill Sans MT" w:hAnsi="Gill Sans MT"/>
                <w:color w:val="000000" w:themeColor="text1"/>
                <w:spacing w:val="-2"/>
                <w:sz w:val="20"/>
                <w:szCs w:val="20"/>
              </w:rPr>
              <w:t>process</w:t>
            </w:r>
            <w:r w:rsidR="00CA0CA8">
              <w:rPr>
                <w:rFonts w:ascii="Gill Sans MT" w:hAnsi="Gill Sans MT"/>
                <w:color w:val="000000" w:themeColor="text1"/>
                <w:spacing w:val="-2"/>
                <w:sz w:val="20"/>
                <w:szCs w:val="20"/>
              </w:rPr>
              <w:t>es</w:t>
            </w:r>
            <w:r w:rsidR="002B20D5">
              <w:rPr>
                <w:rFonts w:ascii="Gill Sans MT" w:hAnsi="Gill Sans MT"/>
                <w:color w:val="000000" w:themeColor="text1"/>
                <w:spacing w:val="-2"/>
                <w:sz w:val="20"/>
                <w:szCs w:val="20"/>
              </w:rPr>
              <w:t>-context-</w:t>
            </w:r>
            <w:r w:rsidR="00327311">
              <w:rPr>
                <w:rFonts w:ascii="Gill Sans MT" w:hAnsi="Gill Sans MT"/>
                <w:color w:val="000000" w:themeColor="text1"/>
                <w:spacing w:val="-2"/>
                <w:sz w:val="20"/>
                <w:szCs w:val="20"/>
              </w:rPr>
              <w:t>cons</w:t>
            </w:r>
            <w:r w:rsidR="00E57912">
              <w:rPr>
                <w:rFonts w:ascii="Gill Sans MT" w:hAnsi="Gill Sans MT"/>
                <w:color w:val="000000" w:themeColor="text1"/>
                <w:spacing w:val="-2"/>
                <w:sz w:val="20"/>
                <w:szCs w:val="20"/>
              </w:rPr>
              <w:t>equences</w:t>
            </w:r>
          </w:p>
          <w:p w14:paraId="3F74EB77" w14:textId="77777777" w:rsidR="007F11D0" w:rsidRDefault="007F11D0" w:rsidP="00C1409E">
            <w:pPr>
              <w:rPr>
                <w:rFonts w:ascii="Gill Sans MT" w:hAnsi="Gill Sans MT"/>
                <w:color w:val="000000" w:themeColor="text1"/>
                <w:spacing w:val="-2"/>
                <w:sz w:val="20"/>
                <w:szCs w:val="20"/>
              </w:rPr>
            </w:pPr>
          </w:p>
          <w:p w14:paraId="0D161539" w14:textId="15D7F455" w:rsidR="007F11D0" w:rsidRDefault="00EC274C" w:rsidP="00C665B5">
            <w:pPr>
              <w:pStyle w:val="Body"/>
              <w:rPr>
                <w:color w:val="000000" w:themeColor="text1"/>
                <w:szCs w:val="20"/>
              </w:rPr>
            </w:pPr>
            <w:r>
              <w:t xml:space="preserve">Rationale: </w:t>
            </w:r>
            <w:r w:rsidR="007F11D0">
              <w:t>It's important to be specific about the variables that need to be included in the evaluation design</w:t>
            </w:r>
            <w:r w:rsidR="003F6878">
              <w:t xml:space="preserve"> and how these will be used </w:t>
            </w:r>
            <w:r w:rsidR="00AB043D">
              <w:t xml:space="preserve">to assess </w:t>
            </w:r>
            <w:r w:rsidR="00AB043D">
              <w:lastRenderedPageBreak/>
              <w:t>progress</w:t>
            </w:r>
            <w:r w:rsidR="003F6878">
              <w:t xml:space="preserve"> and </w:t>
            </w:r>
            <w:r w:rsidR="00AB043D">
              <w:t xml:space="preserve">make </w:t>
            </w:r>
            <w:r w:rsidR="003F6878">
              <w:t>evaluative judgements</w:t>
            </w:r>
            <w:r w:rsidR="007F11D0">
              <w:t xml:space="preserve"> (something that is easier with a</w:t>
            </w:r>
            <w:r w:rsidR="00833AF7">
              <w:t xml:space="preserve"> </w:t>
            </w:r>
            <w:r w:rsidR="007F11D0">
              <w:t>narrowly focused theory).</w:t>
            </w:r>
            <w:r w:rsidR="00E94368">
              <w:t xml:space="preserve"> </w:t>
            </w:r>
          </w:p>
        </w:tc>
        <w:tc>
          <w:tcPr>
            <w:tcW w:w="4111" w:type="dxa"/>
          </w:tcPr>
          <w:p w14:paraId="14A5514C" w14:textId="5A921E94" w:rsidR="00C1409E" w:rsidRDefault="00C1409E" w:rsidP="001C5A91">
            <w:pPr>
              <w:pStyle w:val="ListParagraph"/>
              <w:numPr>
                <w:ilvl w:val="0"/>
                <w:numId w:val="17"/>
              </w:numPr>
            </w:pPr>
            <w:r>
              <w:lastRenderedPageBreak/>
              <w:t xml:space="preserve">Identify </w:t>
            </w:r>
            <w:r w:rsidR="00142FEE">
              <w:t xml:space="preserve">indicators and measures to represent the </w:t>
            </w:r>
            <w:r>
              <w:t xml:space="preserve">achievement of successful </w:t>
            </w:r>
            <w:r w:rsidR="00112C32">
              <w:t xml:space="preserve">benefits, </w:t>
            </w:r>
            <w:proofErr w:type="gramStart"/>
            <w:r>
              <w:t>outcomes</w:t>
            </w:r>
            <w:proofErr w:type="gramEnd"/>
            <w:r>
              <w:t xml:space="preserve"> and impacts</w:t>
            </w:r>
            <w:r w:rsidR="00112C32">
              <w:t xml:space="preserve"> (i.e. results)</w:t>
            </w:r>
            <w:r>
              <w:t xml:space="preserve">. </w:t>
            </w:r>
          </w:p>
          <w:p w14:paraId="35DACE5B" w14:textId="77777777" w:rsidR="00112C32" w:rsidRDefault="00112C32" w:rsidP="001C5A91">
            <w:pPr>
              <w:pStyle w:val="ListParagraph"/>
              <w:numPr>
                <w:ilvl w:val="0"/>
                <w:numId w:val="17"/>
              </w:numPr>
            </w:pPr>
            <w:r>
              <w:t>Identify indicators that capture how well the programme is being implemented and the processes involved in delivering good results.</w:t>
            </w:r>
          </w:p>
          <w:p w14:paraId="4F0C8DFF" w14:textId="1ADCC987" w:rsidR="00EA1F17" w:rsidRDefault="00EA1F17" w:rsidP="001C5A91">
            <w:pPr>
              <w:pStyle w:val="ListParagraph"/>
              <w:numPr>
                <w:ilvl w:val="0"/>
                <w:numId w:val="17"/>
              </w:numPr>
            </w:pPr>
            <w:r>
              <w:lastRenderedPageBreak/>
              <w:t>E</w:t>
            </w:r>
            <w:r w:rsidRPr="002B326E">
              <w:t>xamine the relationship between the regular monitoring activities and the evaluation.</w:t>
            </w:r>
          </w:p>
          <w:p w14:paraId="12657281" w14:textId="77777777" w:rsidR="004C15DC" w:rsidRDefault="004C15DC" w:rsidP="001C5A91">
            <w:pPr>
              <w:pStyle w:val="ListParagraph"/>
              <w:numPr>
                <w:ilvl w:val="0"/>
                <w:numId w:val="17"/>
              </w:numPr>
            </w:pPr>
            <w:r w:rsidRPr="00740F41">
              <w:t xml:space="preserve">Identify the factors that it will be important to understand </w:t>
            </w:r>
            <w:r>
              <w:t xml:space="preserve">to assess </w:t>
            </w:r>
            <w:r w:rsidRPr="00740F41">
              <w:t xml:space="preserve">the situation and context of the programme </w:t>
            </w:r>
            <w:r>
              <w:t xml:space="preserve">and the implications for the evaluation </w:t>
            </w:r>
            <w:r w:rsidRPr="00740F41">
              <w:t>(it can be helpful to distinguish between enabling and constraining factors).</w:t>
            </w:r>
            <w:r>
              <w:t xml:space="preserve"> And those in and out of scope of the programmes influence. </w:t>
            </w:r>
          </w:p>
          <w:p w14:paraId="58E68525" w14:textId="77777777" w:rsidR="004C15DC" w:rsidRDefault="004C15DC" w:rsidP="001C5A91">
            <w:pPr>
              <w:pStyle w:val="ListParagraph"/>
              <w:numPr>
                <w:ilvl w:val="0"/>
                <w:numId w:val="17"/>
              </w:numPr>
            </w:pPr>
            <w:r>
              <w:t>Identify the measures that capture who the programme is working with and in what context(s).</w:t>
            </w:r>
          </w:p>
          <w:p w14:paraId="2338D332" w14:textId="74FEF33D" w:rsidR="003A4C2C" w:rsidRPr="00D81EB4" w:rsidRDefault="004C15DC" w:rsidP="001C5A91">
            <w:pPr>
              <w:pStyle w:val="ListParagraph"/>
              <w:numPr>
                <w:ilvl w:val="0"/>
                <w:numId w:val="17"/>
              </w:numPr>
            </w:pPr>
            <w:r>
              <w:t>Identify any assumptions that need to be tested about what would take place in order for the programme to work.</w:t>
            </w:r>
            <w:r w:rsidR="00046399">
              <w:rPr>
                <w:rStyle w:val="FootnoteReference"/>
              </w:rPr>
              <w:footnoteReference w:id="4"/>
            </w:r>
          </w:p>
        </w:tc>
        <w:tc>
          <w:tcPr>
            <w:tcW w:w="4111" w:type="dxa"/>
          </w:tcPr>
          <w:p w14:paraId="3577E40C" w14:textId="1D265C54" w:rsidR="00C1409E" w:rsidRDefault="00C1409E" w:rsidP="001C5A91">
            <w:pPr>
              <w:pStyle w:val="ListParagraph"/>
              <w:numPr>
                <w:ilvl w:val="0"/>
                <w:numId w:val="18"/>
              </w:numPr>
            </w:pPr>
            <w:r>
              <w:lastRenderedPageBreak/>
              <w:t xml:space="preserve">The focus </w:t>
            </w:r>
            <w:r w:rsidR="005412D3">
              <w:t xml:space="preserve">is usually </w:t>
            </w:r>
            <w:r>
              <w:t>how to measure the ToC</w:t>
            </w:r>
            <w:r w:rsidR="008526E4">
              <w:t>, b</w:t>
            </w:r>
            <w:r>
              <w:t xml:space="preserve">ut general theories of human development can also be applied and there are a wide range of developmental outcomes, </w:t>
            </w:r>
            <w:proofErr w:type="gramStart"/>
            <w:r>
              <w:t>assumptions</w:t>
            </w:r>
            <w:proofErr w:type="gramEnd"/>
            <w:r>
              <w:t xml:space="preserve"> and mechanisms of interest. </w:t>
            </w:r>
          </w:p>
          <w:p w14:paraId="367548B8" w14:textId="776303D6" w:rsidR="00C1409E" w:rsidRDefault="00C1409E" w:rsidP="001C5A91">
            <w:pPr>
              <w:pStyle w:val="ListParagraph"/>
              <w:numPr>
                <w:ilvl w:val="0"/>
                <w:numId w:val="18"/>
              </w:numPr>
            </w:pPr>
            <w:r>
              <w:t xml:space="preserve">A wide range of processes and assumptions </w:t>
            </w:r>
            <w:r w:rsidR="00CF7C50">
              <w:t>could</w:t>
            </w:r>
            <w:r>
              <w:t xml:space="preserve"> be involved - the specific measures </w:t>
            </w:r>
            <w:r>
              <w:lastRenderedPageBreak/>
              <w:t>need to be contextualised to the intervention in question.</w:t>
            </w:r>
          </w:p>
          <w:p w14:paraId="4C737E5B" w14:textId="23D51574" w:rsidR="00C1409E" w:rsidRDefault="00C1409E" w:rsidP="001C5A91">
            <w:pPr>
              <w:pStyle w:val="ListParagraph"/>
              <w:numPr>
                <w:ilvl w:val="0"/>
                <w:numId w:val="18"/>
              </w:numPr>
            </w:pPr>
            <w:r>
              <w:t xml:space="preserve">The indicators need to be </w:t>
            </w:r>
            <w:r w:rsidR="0099762F">
              <w:t xml:space="preserve">measurable and </w:t>
            </w:r>
            <w:r>
              <w:t>appropriate to the purpose of the evaluation</w:t>
            </w:r>
            <w:r w:rsidR="0099762F">
              <w:t xml:space="preserve">. </w:t>
            </w:r>
            <w:r>
              <w:t xml:space="preserve"> </w:t>
            </w:r>
          </w:p>
          <w:p w14:paraId="64CCC419" w14:textId="3C754FF9" w:rsidR="00F20D34" w:rsidRDefault="00CF7C50" w:rsidP="001C5A91">
            <w:pPr>
              <w:pStyle w:val="ListParagraph"/>
              <w:numPr>
                <w:ilvl w:val="0"/>
                <w:numId w:val="18"/>
              </w:numPr>
            </w:pPr>
            <w:r>
              <w:t>I</w:t>
            </w:r>
            <w:r w:rsidR="00F20D34">
              <w:t xml:space="preserve">dentifying the critical contextual factors that can affect the programme can be challenging because it isn’t always possible to know in advance what importance individual and local processes and pressures will have. </w:t>
            </w:r>
          </w:p>
          <w:p w14:paraId="723B377E" w14:textId="15ADDC68" w:rsidR="00F20D34" w:rsidRDefault="00F20D34" w:rsidP="001C5A91">
            <w:pPr>
              <w:pStyle w:val="ListParagraph"/>
              <w:numPr>
                <w:ilvl w:val="0"/>
                <w:numId w:val="18"/>
              </w:numPr>
            </w:pPr>
            <w:r>
              <w:t xml:space="preserve">There is the challenge of understanding and </w:t>
            </w:r>
            <w:proofErr w:type="gramStart"/>
            <w:r>
              <w:t>taking into account</w:t>
            </w:r>
            <w:proofErr w:type="gramEnd"/>
            <w:r>
              <w:t xml:space="preserve"> system issues and interrelationships over time as they emerge (especially challenging in a changing world).</w:t>
            </w:r>
          </w:p>
          <w:p w14:paraId="3BEF2CD6" w14:textId="4D779EC5" w:rsidR="00C1409E" w:rsidRDefault="007D2A9F" w:rsidP="001C5A91">
            <w:pPr>
              <w:pStyle w:val="ListParagraph"/>
              <w:numPr>
                <w:ilvl w:val="0"/>
                <w:numId w:val="18"/>
              </w:numPr>
            </w:pPr>
            <w:r>
              <w:t>A b</w:t>
            </w:r>
            <w:r w:rsidR="00C1409E" w:rsidRPr="00FB43E2">
              <w:t xml:space="preserve">aseline </w:t>
            </w:r>
            <w:r w:rsidR="005E452A">
              <w:t xml:space="preserve">might be </w:t>
            </w:r>
            <w:r w:rsidR="00C1409E" w:rsidRPr="00FB43E2">
              <w:t xml:space="preserve">needed to be able to </w:t>
            </w:r>
            <w:r w:rsidR="005E452A">
              <w:t xml:space="preserve">compare </w:t>
            </w:r>
            <w:r w:rsidR="00C1409E" w:rsidRPr="00FB43E2">
              <w:t xml:space="preserve">the situations before/after, and with/without the intervention, or if this doesn’t exist, monitoring may need to be put in place first to enable a baseline to be constructed. </w:t>
            </w:r>
          </w:p>
          <w:p w14:paraId="560AF470" w14:textId="3994C1A0" w:rsidR="00636F47" w:rsidRPr="00433FD5" w:rsidRDefault="00CF0E6E" w:rsidP="001C5A91">
            <w:pPr>
              <w:pStyle w:val="ListParagraph"/>
              <w:numPr>
                <w:ilvl w:val="0"/>
                <w:numId w:val="18"/>
              </w:numPr>
            </w:pPr>
            <w:r>
              <w:t>D</w:t>
            </w:r>
            <w:r w:rsidR="00433FD5" w:rsidRPr="00FB43E2">
              <w:t>esigns using a control</w:t>
            </w:r>
            <w:r w:rsidR="00315EC6">
              <w:t>/comparison</w:t>
            </w:r>
            <w:r w:rsidR="00433FD5" w:rsidRPr="00FB43E2">
              <w:t xml:space="preserve"> group need to </w:t>
            </w:r>
            <w:r>
              <w:t>consider</w:t>
            </w:r>
            <w:r w:rsidR="00433FD5" w:rsidRPr="00FB43E2">
              <w:t xml:space="preserve"> ‘contamination’</w:t>
            </w:r>
            <w:r w:rsidR="00433FD5">
              <w:t xml:space="preserve"> factors</w:t>
            </w:r>
            <w:r w:rsidR="005D49E7">
              <w:t xml:space="preserve"> (external variables</w:t>
            </w:r>
            <w:r w:rsidR="00433FD5">
              <w:t xml:space="preserve"> </w:t>
            </w:r>
            <w:r w:rsidR="00433FD5" w:rsidRPr="00FB43E2">
              <w:t>affect</w:t>
            </w:r>
            <w:r w:rsidR="00433FD5">
              <w:t>ing</w:t>
            </w:r>
            <w:r w:rsidR="00433FD5" w:rsidRPr="00FB43E2">
              <w:t xml:space="preserve"> the</w:t>
            </w:r>
            <w:r w:rsidR="00C80FF0">
              <w:t>ir outcomes</w:t>
            </w:r>
            <w:r w:rsidR="00433FD5">
              <w:t>)</w:t>
            </w:r>
            <w:r w:rsidR="00433FD5" w:rsidRPr="00FB43E2">
              <w:t>. The further away in time the harder it can be to isolate the intervention effects</w:t>
            </w:r>
            <w:r w:rsidR="00433FD5">
              <w:t xml:space="preserve"> from ‘contaminating’ factors</w:t>
            </w:r>
            <w:r w:rsidR="00433FD5" w:rsidRPr="00FB43E2">
              <w:t xml:space="preserve">.  </w:t>
            </w:r>
          </w:p>
        </w:tc>
        <w:tc>
          <w:tcPr>
            <w:tcW w:w="3968" w:type="dxa"/>
          </w:tcPr>
          <w:p w14:paraId="5AEBFE0B" w14:textId="77777777" w:rsidR="00C1409E" w:rsidRDefault="00C1409E" w:rsidP="00C1409E">
            <w:pPr>
              <w:rPr>
                <w:rFonts w:ascii="Gill Sans MT" w:hAnsi="Gill Sans MT"/>
                <w:color w:val="000000" w:themeColor="text1"/>
                <w:spacing w:val="-2"/>
                <w:sz w:val="20"/>
                <w:szCs w:val="20"/>
              </w:rPr>
            </w:pPr>
            <w:r w:rsidRPr="00FA3F7D">
              <w:rPr>
                <w:rFonts w:ascii="Gill Sans MT" w:hAnsi="Gill Sans MT"/>
                <w:color w:val="000000" w:themeColor="text1"/>
                <w:spacing w:val="-2"/>
                <w:sz w:val="20"/>
                <w:szCs w:val="20"/>
              </w:rPr>
              <w:lastRenderedPageBreak/>
              <w:t>Guidance is available on characteristics of strong indicators and measures</w:t>
            </w:r>
          </w:p>
          <w:p w14:paraId="33CB3002" w14:textId="77777777" w:rsidR="00263BF7" w:rsidRPr="00FA3F7D" w:rsidRDefault="00263BF7" w:rsidP="00C1409E">
            <w:pPr>
              <w:rPr>
                <w:rFonts w:ascii="Gill Sans MT" w:hAnsi="Gill Sans MT"/>
                <w:color w:val="000000" w:themeColor="text1"/>
                <w:spacing w:val="-2"/>
                <w:sz w:val="20"/>
                <w:szCs w:val="20"/>
              </w:rPr>
            </w:pPr>
          </w:p>
          <w:p w14:paraId="2A7DCFA7" w14:textId="77777777" w:rsidR="00C1409E" w:rsidRDefault="00C1409E" w:rsidP="00C1409E">
            <w:pPr>
              <w:rPr>
                <w:rFonts w:ascii="Gill Sans MT" w:hAnsi="Gill Sans MT"/>
                <w:color w:val="000000" w:themeColor="text1"/>
                <w:spacing w:val="-2"/>
                <w:sz w:val="20"/>
                <w:szCs w:val="20"/>
              </w:rPr>
            </w:pPr>
            <w:r w:rsidRPr="00FA3F7D">
              <w:rPr>
                <w:rFonts w:ascii="Gill Sans MT" w:hAnsi="Gill Sans MT"/>
                <w:color w:val="000000" w:themeColor="text1"/>
                <w:spacing w:val="-2"/>
                <w:sz w:val="20"/>
                <w:szCs w:val="20"/>
              </w:rPr>
              <w:t xml:space="preserve">Question Bank resources including overview of the indicators in the NERUPI framework, a bank of questions which can be used as part of evaluation research with participants in order to draw out achievement of learning aims in </w:t>
            </w:r>
            <w:r w:rsidRPr="00FA3F7D">
              <w:rPr>
                <w:rFonts w:ascii="Gill Sans MT" w:hAnsi="Gill Sans MT"/>
                <w:color w:val="000000" w:themeColor="text1"/>
                <w:spacing w:val="-2"/>
                <w:sz w:val="20"/>
                <w:szCs w:val="20"/>
              </w:rPr>
              <w:lastRenderedPageBreak/>
              <w:t>the NERUPI framework, and a tool to link NERUPI objectives to the MOAT</w:t>
            </w:r>
          </w:p>
          <w:p w14:paraId="37940379" w14:textId="5FBC276E" w:rsidR="00C1409E" w:rsidRPr="00FA3F7D" w:rsidRDefault="00C1409E" w:rsidP="00C1409E">
            <w:pPr>
              <w:rPr>
                <w:rFonts w:ascii="Gill Sans MT" w:hAnsi="Gill Sans MT"/>
                <w:color w:val="000000" w:themeColor="text1"/>
                <w:spacing w:val="-2"/>
                <w:sz w:val="20"/>
                <w:szCs w:val="20"/>
              </w:rPr>
            </w:pPr>
          </w:p>
          <w:p w14:paraId="51C54465" w14:textId="77777777" w:rsidR="00C1409E" w:rsidRDefault="00C1409E" w:rsidP="00C1409E">
            <w:pPr>
              <w:rPr>
                <w:rFonts w:ascii="Gill Sans MT" w:hAnsi="Gill Sans MT"/>
                <w:color w:val="000000" w:themeColor="text1"/>
                <w:spacing w:val="-2"/>
                <w:sz w:val="20"/>
                <w:szCs w:val="20"/>
              </w:rPr>
            </w:pPr>
            <w:r w:rsidRPr="00FA3F7D">
              <w:rPr>
                <w:rFonts w:ascii="Gill Sans MT" w:hAnsi="Gill Sans MT"/>
                <w:color w:val="000000" w:themeColor="text1"/>
                <w:spacing w:val="-2"/>
                <w:sz w:val="20"/>
                <w:szCs w:val="20"/>
              </w:rPr>
              <w:t>A question bank is in development for use as part of process evaluation projects</w:t>
            </w:r>
          </w:p>
          <w:p w14:paraId="7D504D44" w14:textId="44560F93" w:rsidR="00C25F6A" w:rsidRPr="00554C74" w:rsidRDefault="00C25F6A" w:rsidP="00C1409E">
            <w:pPr>
              <w:rPr>
                <w:rFonts w:ascii="Gill Sans MT" w:hAnsi="Gill Sans MT"/>
                <w:color w:val="000000" w:themeColor="text1"/>
                <w:spacing w:val="-2"/>
                <w:sz w:val="20"/>
                <w:szCs w:val="20"/>
              </w:rPr>
            </w:pPr>
          </w:p>
        </w:tc>
      </w:tr>
      <w:tr w:rsidR="00155728" w:rsidRPr="00C25316" w14:paraId="7536E117" w14:textId="77777777" w:rsidTr="00933911">
        <w:tc>
          <w:tcPr>
            <w:tcW w:w="3256" w:type="dxa"/>
          </w:tcPr>
          <w:p w14:paraId="02D65927" w14:textId="22A85E0C" w:rsidR="00155728" w:rsidRDefault="00155728"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lastRenderedPageBreak/>
              <w:t xml:space="preserve">Outputs at this stage: </w:t>
            </w:r>
          </w:p>
        </w:tc>
        <w:tc>
          <w:tcPr>
            <w:tcW w:w="12190" w:type="dxa"/>
            <w:gridSpan w:val="3"/>
          </w:tcPr>
          <w:p w14:paraId="47DFF13F" w14:textId="1C07B63B" w:rsidR="00155728" w:rsidRPr="001478F3" w:rsidRDefault="007D3FE7"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t>Evaluation purpose statement, Evaluation Questions, E</w:t>
            </w:r>
            <w:r w:rsidR="00155728">
              <w:rPr>
                <w:rFonts w:ascii="Gill Sans MT" w:hAnsi="Gill Sans MT"/>
                <w:color w:val="000000" w:themeColor="text1"/>
                <w:spacing w:val="-2"/>
                <w:sz w:val="20"/>
                <w:szCs w:val="20"/>
              </w:rPr>
              <w:t>valuation design and</w:t>
            </w:r>
            <w:r>
              <w:rPr>
                <w:rFonts w:ascii="Gill Sans MT" w:hAnsi="Gill Sans MT"/>
                <w:color w:val="000000" w:themeColor="text1"/>
                <w:spacing w:val="-2"/>
                <w:sz w:val="20"/>
                <w:szCs w:val="20"/>
              </w:rPr>
              <w:t xml:space="preserve"> framework of indicators and measures</w:t>
            </w:r>
            <w:r w:rsidR="00DF3014">
              <w:rPr>
                <w:rFonts w:ascii="Gill Sans MT" w:hAnsi="Gill Sans MT"/>
                <w:color w:val="000000" w:themeColor="text1"/>
                <w:spacing w:val="-2"/>
                <w:sz w:val="20"/>
                <w:szCs w:val="20"/>
              </w:rPr>
              <w:t>,</w:t>
            </w:r>
          </w:p>
        </w:tc>
      </w:tr>
      <w:tr w:rsidR="00D472CA" w:rsidRPr="00C25316" w14:paraId="429E504C" w14:textId="77777777" w:rsidTr="004F08E6">
        <w:tc>
          <w:tcPr>
            <w:tcW w:w="15446" w:type="dxa"/>
            <w:gridSpan w:val="4"/>
          </w:tcPr>
          <w:p w14:paraId="7A8104B3" w14:textId="3F55E16C" w:rsidR="00D472CA" w:rsidRPr="00C25316" w:rsidRDefault="00D472CA" w:rsidP="004F08E6">
            <w:pPr>
              <w:rPr>
                <w:rFonts w:ascii="Gill Sans MT" w:hAnsi="Gill Sans MT"/>
                <w:b/>
                <w:bCs/>
                <w:color w:val="7030A0"/>
                <w:sz w:val="20"/>
                <w:szCs w:val="20"/>
              </w:rPr>
            </w:pPr>
            <w:r>
              <w:rPr>
                <w:rFonts w:ascii="Gill Sans MT" w:hAnsi="Gill Sans MT"/>
                <w:b/>
                <w:bCs/>
                <w:color w:val="007D98"/>
                <w:sz w:val="20"/>
                <w:szCs w:val="20"/>
              </w:rPr>
              <w:t>3</w:t>
            </w:r>
            <w:r w:rsidRPr="00C25316">
              <w:rPr>
                <w:rFonts w:ascii="Gill Sans MT" w:hAnsi="Gill Sans MT"/>
                <w:b/>
                <w:bCs/>
                <w:color w:val="007D98"/>
                <w:sz w:val="20"/>
                <w:szCs w:val="20"/>
              </w:rPr>
              <w:t xml:space="preserve">. </w:t>
            </w:r>
            <w:r>
              <w:rPr>
                <w:rFonts w:ascii="Gill Sans MT" w:hAnsi="Gill Sans MT"/>
                <w:b/>
                <w:bCs/>
                <w:color w:val="007D98"/>
                <w:sz w:val="20"/>
                <w:szCs w:val="20"/>
              </w:rPr>
              <w:t>Evaluation Implementation</w:t>
            </w:r>
          </w:p>
        </w:tc>
      </w:tr>
      <w:tr w:rsidR="00C1409E" w:rsidRPr="00C25316" w14:paraId="52932E5B" w14:textId="77777777" w:rsidTr="00715C2A">
        <w:tc>
          <w:tcPr>
            <w:tcW w:w="3256" w:type="dxa"/>
          </w:tcPr>
          <w:p w14:paraId="00D0B45A" w14:textId="752DFFA4" w:rsidR="00C1409E" w:rsidRDefault="00C1409E"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t xml:space="preserve">Step </w:t>
            </w:r>
            <w:r w:rsidR="00F178CB">
              <w:rPr>
                <w:rFonts w:ascii="Gill Sans MT" w:hAnsi="Gill Sans MT"/>
                <w:color w:val="000000" w:themeColor="text1"/>
                <w:spacing w:val="-2"/>
                <w:sz w:val="20"/>
                <w:szCs w:val="20"/>
              </w:rPr>
              <w:t>9</w:t>
            </w:r>
            <w:r>
              <w:rPr>
                <w:rFonts w:ascii="Gill Sans MT" w:hAnsi="Gill Sans MT"/>
                <w:color w:val="000000" w:themeColor="text1"/>
                <w:spacing w:val="-2"/>
                <w:sz w:val="20"/>
                <w:szCs w:val="20"/>
              </w:rPr>
              <w:t xml:space="preserve">) Specify the </w:t>
            </w:r>
            <w:r w:rsidRPr="001478F3">
              <w:rPr>
                <w:rFonts w:ascii="Gill Sans MT" w:hAnsi="Gill Sans MT"/>
                <w:color w:val="000000" w:themeColor="text1"/>
                <w:spacing w:val="-2"/>
                <w:sz w:val="20"/>
                <w:szCs w:val="20"/>
              </w:rPr>
              <w:t xml:space="preserve">methods </w:t>
            </w:r>
          </w:p>
          <w:p w14:paraId="3B872F69" w14:textId="77777777" w:rsidR="00663920" w:rsidRPr="001478F3" w:rsidRDefault="00663920" w:rsidP="00C1409E">
            <w:pPr>
              <w:rPr>
                <w:rFonts w:ascii="Gill Sans MT" w:hAnsi="Gill Sans MT"/>
                <w:color w:val="000000" w:themeColor="text1"/>
                <w:spacing w:val="-2"/>
                <w:sz w:val="20"/>
                <w:szCs w:val="20"/>
              </w:rPr>
            </w:pPr>
          </w:p>
          <w:p w14:paraId="77D4C34C" w14:textId="5808FB42" w:rsidR="00C1409E" w:rsidRDefault="00CA5996" w:rsidP="00AF2E70">
            <w:pPr>
              <w:rPr>
                <w:rFonts w:ascii="Gill Sans MT" w:hAnsi="Gill Sans MT"/>
                <w:color w:val="000000" w:themeColor="text1"/>
                <w:spacing w:val="-2"/>
                <w:sz w:val="20"/>
                <w:szCs w:val="20"/>
              </w:rPr>
            </w:pPr>
            <w:r>
              <w:rPr>
                <w:rFonts w:ascii="Gill Sans MT" w:hAnsi="Gill Sans MT"/>
                <w:color w:val="000000" w:themeColor="text1"/>
                <w:spacing w:val="-2"/>
                <w:sz w:val="20"/>
                <w:szCs w:val="20"/>
              </w:rPr>
              <w:lastRenderedPageBreak/>
              <w:t xml:space="preserve">Rationale: </w:t>
            </w:r>
            <w:r w:rsidR="00C1409E" w:rsidRPr="001478F3">
              <w:rPr>
                <w:rFonts w:ascii="Gill Sans MT" w:hAnsi="Gill Sans MT"/>
                <w:color w:val="000000" w:themeColor="text1"/>
                <w:spacing w:val="-2"/>
                <w:sz w:val="20"/>
                <w:szCs w:val="20"/>
              </w:rPr>
              <w:t>There are numerous methods that can be used to collect evidence</w:t>
            </w:r>
            <w:r w:rsidR="002B2ADA">
              <w:rPr>
                <w:rFonts w:ascii="Gill Sans MT" w:hAnsi="Gill Sans MT"/>
                <w:color w:val="000000" w:themeColor="text1"/>
                <w:spacing w:val="-2"/>
                <w:sz w:val="20"/>
                <w:szCs w:val="20"/>
              </w:rPr>
              <w:t xml:space="preserve">, with </w:t>
            </w:r>
            <w:r w:rsidR="00C1409E" w:rsidRPr="001478F3">
              <w:rPr>
                <w:rFonts w:ascii="Gill Sans MT" w:hAnsi="Gill Sans MT"/>
                <w:color w:val="000000" w:themeColor="text1"/>
                <w:spacing w:val="-2"/>
                <w:sz w:val="20"/>
                <w:szCs w:val="20"/>
              </w:rPr>
              <w:t xml:space="preserve">implications </w:t>
            </w:r>
            <w:r w:rsidR="002B2ADA">
              <w:rPr>
                <w:rFonts w:ascii="Gill Sans MT" w:hAnsi="Gill Sans MT"/>
                <w:color w:val="000000" w:themeColor="text1"/>
                <w:spacing w:val="-2"/>
                <w:sz w:val="20"/>
                <w:szCs w:val="20"/>
              </w:rPr>
              <w:t>for</w:t>
            </w:r>
            <w:r w:rsidR="00C1409E" w:rsidRPr="001478F3">
              <w:rPr>
                <w:rFonts w:ascii="Gill Sans MT" w:hAnsi="Gill Sans MT"/>
                <w:color w:val="000000" w:themeColor="text1"/>
                <w:spacing w:val="-2"/>
                <w:sz w:val="20"/>
                <w:szCs w:val="20"/>
              </w:rPr>
              <w:t xml:space="preserve"> the type of data generated and the extent to which the methods are designed to be </w:t>
            </w:r>
            <w:r w:rsidR="00A65824">
              <w:rPr>
                <w:rFonts w:ascii="Gill Sans MT" w:hAnsi="Gill Sans MT"/>
                <w:color w:val="000000" w:themeColor="text1"/>
                <w:spacing w:val="-2"/>
                <w:sz w:val="20"/>
                <w:szCs w:val="20"/>
              </w:rPr>
              <w:t xml:space="preserve">objectives focused or </w:t>
            </w:r>
            <w:r w:rsidR="00C1409E" w:rsidRPr="001478F3">
              <w:rPr>
                <w:rFonts w:ascii="Gill Sans MT" w:hAnsi="Gill Sans MT"/>
                <w:color w:val="000000" w:themeColor="text1"/>
                <w:spacing w:val="-2"/>
                <w:sz w:val="20"/>
                <w:szCs w:val="20"/>
              </w:rPr>
              <w:t xml:space="preserve">participatory, </w:t>
            </w:r>
            <w:proofErr w:type="gramStart"/>
            <w:r w:rsidR="00C1409E" w:rsidRPr="001478F3">
              <w:rPr>
                <w:rFonts w:ascii="Gill Sans MT" w:hAnsi="Gill Sans MT"/>
                <w:color w:val="000000" w:themeColor="text1"/>
                <w:spacing w:val="-2"/>
                <w:sz w:val="20"/>
                <w:szCs w:val="20"/>
              </w:rPr>
              <w:t>empowering</w:t>
            </w:r>
            <w:proofErr w:type="gramEnd"/>
            <w:r w:rsidR="00C1409E" w:rsidRPr="001478F3">
              <w:rPr>
                <w:rFonts w:ascii="Gill Sans MT" w:hAnsi="Gill Sans MT"/>
                <w:color w:val="000000" w:themeColor="text1"/>
                <w:spacing w:val="-2"/>
                <w:sz w:val="20"/>
                <w:szCs w:val="20"/>
              </w:rPr>
              <w:t xml:space="preserve"> and inclusive.</w:t>
            </w:r>
          </w:p>
        </w:tc>
        <w:tc>
          <w:tcPr>
            <w:tcW w:w="4111" w:type="dxa"/>
          </w:tcPr>
          <w:p w14:paraId="08204D2C" w14:textId="0E149C1D" w:rsidR="00C1409E" w:rsidRDefault="00C1409E" w:rsidP="001C5A91">
            <w:pPr>
              <w:pStyle w:val="ListParagraph"/>
              <w:numPr>
                <w:ilvl w:val="0"/>
                <w:numId w:val="19"/>
              </w:numPr>
              <w:ind w:left="313" w:hanging="284"/>
            </w:pPr>
            <w:r w:rsidRPr="001478F3">
              <w:lastRenderedPageBreak/>
              <w:t>Select</w:t>
            </w:r>
            <w:r w:rsidR="00CB2164">
              <w:t xml:space="preserve"> the</w:t>
            </w:r>
            <w:r w:rsidRPr="001478F3">
              <w:t xml:space="preserve"> method</w:t>
            </w:r>
            <w:r w:rsidR="00CB2164">
              <w:t>(</w:t>
            </w:r>
            <w:r w:rsidRPr="001478F3">
              <w:t>s</w:t>
            </w:r>
            <w:r w:rsidR="00CB2164">
              <w:t>)</w:t>
            </w:r>
            <w:r w:rsidRPr="001478F3">
              <w:t xml:space="preserve"> capable of answering the</w:t>
            </w:r>
            <w:r w:rsidR="00724F46">
              <w:t xml:space="preserve"> evaluation</w:t>
            </w:r>
            <w:r w:rsidRPr="001478F3">
              <w:t xml:space="preserve"> questions (making sure </w:t>
            </w:r>
            <w:r w:rsidR="00724F46">
              <w:t>evaluation users are</w:t>
            </w:r>
            <w:r w:rsidRPr="001478F3">
              <w:t xml:space="preserve"> involved so that the </w:t>
            </w:r>
            <w:r w:rsidRPr="001478F3">
              <w:lastRenderedPageBreak/>
              <w:t xml:space="preserve">evaluation is </w:t>
            </w:r>
            <w:proofErr w:type="gramStart"/>
            <w:r w:rsidRPr="001478F3">
              <w:t>credible</w:t>
            </w:r>
            <w:proofErr w:type="gramEnd"/>
            <w:r w:rsidRPr="001478F3">
              <w:t xml:space="preserve"> and the results taken seriously)</w:t>
            </w:r>
            <w:r>
              <w:t>.</w:t>
            </w:r>
          </w:p>
          <w:p w14:paraId="1DFE7CF0" w14:textId="355EBCAD" w:rsidR="00C1409E" w:rsidRPr="002672E3" w:rsidRDefault="00C1409E" w:rsidP="001C5A91">
            <w:pPr>
              <w:pStyle w:val="ListParagraph"/>
              <w:numPr>
                <w:ilvl w:val="0"/>
                <w:numId w:val="19"/>
              </w:numPr>
              <w:ind w:left="313" w:hanging="284"/>
            </w:pPr>
            <w:r w:rsidRPr="002672E3">
              <w:t>Conside</w:t>
            </w:r>
            <w:r w:rsidR="000571DB">
              <w:t>r</w:t>
            </w:r>
            <w:r w:rsidRPr="002672E3">
              <w:t xml:space="preserve"> how evaluation methods might be embedded into the programme or conducted in ways that increase skills, knowledge, confidence, self-determination, and a sense of ownership among those involved in the evaluation (delivery team </w:t>
            </w:r>
            <w:r w:rsidR="00193EBC">
              <w:t>and</w:t>
            </w:r>
            <w:r w:rsidRPr="002672E3">
              <w:t xml:space="preserve"> participants). </w:t>
            </w:r>
          </w:p>
          <w:p w14:paraId="7322F4A3" w14:textId="53656964" w:rsidR="00C1409E" w:rsidRPr="002672E3" w:rsidRDefault="00C1409E" w:rsidP="001C5A91">
            <w:pPr>
              <w:pStyle w:val="ListParagraph"/>
              <w:numPr>
                <w:ilvl w:val="0"/>
                <w:numId w:val="19"/>
              </w:numPr>
              <w:ind w:left="313" w:hanging="284"/>
            </w:pPr>
            <w:r w:rsidRPr="002672E3">
              <w:t>Ensur</w:t>
            </w:r>
            <w:r w:rsidR="00193EBC">
              <w:t>e</w:t>
            </w:r>
            <w:r w:rsidRPr="002672E3">
              <w:t xml:space="preserve"> the methods are realistic, appropriate to the </w:t>
            </w:r>
            <w:r w:rsidR="00F178CB">
              <w:t>uses</w:t>
            </w:r>
            <w:r w:rsidRPr="002672E3">
              <w:t xml:space="preserve"> and cost-effective </w:t>
            </w:r>
          </w:p>
          <w:p w14:paraId="0200FCDB" w14:textId="3BC80004" w:rsidR="00C1409E" w:rsidRPr="002672E3" w:rsidRDefault="00C1409E" w:rsidP="001C5A91">
            <w:pPr>
              <w:pStyle w:val="ListParagraph"/>
              <w:numPr>
                <w:ilvl w:val="0"/>
                <w:numId w:val="19"/>
              </w:numPr>
              <w:ind w:left="313" w:hanging="284"/>
            </w:pPr>
            <w:r w:rsidRPr="002672E3">
              <w:t>Check that the results from the method</w:t>
            </w:r>
            <w:r w:rsidR="007A0D98">
              <w:t>(</w:t>
            </w:r>
            <w:r w:rsidRPr="002672E3">
              <w:t>s</w:t>
            </w:r>
            <w:r w:rsidR="007A0D98">
              <w:t xml:space="preserve">) can be </w:t>
            </w:r>
            <w:r w:rsidRPr="002672E3">
              <w:t>used in the intended way to meet the needs of the evaluation</w:t>
            </w:r>
          </w:p>
          <w:p w14:paraId="4DF316D6" w14:textId="4137F613" w:rsidR="00C1409E" w:rsidRPr="002672E3" w:rsidRDefault="00C1409E" w:rsidP="001C5A91">
            <w:pPr>
              <w:pStyle w:val="ListParagraph"/>
              <w:numPr>
                <w:ilvl w:val="0"/>
                <w:numId w:val="19"/>
              </w:numPr>
              <w:ind w:left="313" w:hanging="284"/>
            </w:pPr>
            <w:r w:rsidRPr="002672E3">
              <w:t>Risk-assess methods for threats and put</w:t>
            </w:r>
            <w:r w:rsidR="006B58F7">
              <w:t xml:space="preserve"> mitigations in</w:t>
            </w:r>
            <w:r w:rsidRPr="002672E3">
              <w:t xml:space="preserve"> place mitigations.</w:t>
            </w:r>
            <w:r w:rsidR="006B58F7">
              <w:rPr>
                <w:rStyle w:val="FootnoteReference"/>
              </w:rPr>
              <w:footnoteReference w:id="5"/>
            </w:r>
            <w:r w:rsidRPr="002672E3">
              <w:t xml:space="preserve"> </w:t>
            </w:r>
          </w:p>
          <w:p w14:paraId="38553006" w14:textId="16039DB8" w:rsidR="00C1409E" w:rsidRPr="00CE6A9C" w:rsidRDefault="00C1409E" w:rsidP="001C5A91">
            <w:pPr>
              <w:pStyle w:val="ListParagraph"/>
              <w:numPr>
                <w:ilvl w:val="0"/>
                <w:numId w:val="19"/>
              </w:numPr>
              <w:ind w:left="313" w:hanging="284"/>
            </w:pPr>
            <w:r w:rsidRPr="002672E3">
              <w:t xml:space="preserve">Assess the match within the praxis group between the existing skills and the challenges of doing the evaluation. This involves not only evaluators needing to be reflexive about their own strengths and weaknesses, and but also identifying skills and capacity for evaluation of the evaluation users and stakeholders. </w:t>
            </w:r>
          </w:p>
        </w:tc>
        <w:tc>
          <w:tcPr>
            <w:tcW w:w="4111" w:type="dxa"/>
          </w:tcPr>
          <w:p w14:paraId="1DB3FF02" w14:textId="7C38F209" w:rsidR="00CB3124" w:rsidRPr="00CB3124" w:rsidRDefault="000571DB" w:rsidP="001C5A91">
            <w:pPr>
              <w:pStyle w:val="ListParagraph"/>
              <w:numPr>
                <w:ilvl w:val="0"/>
                <w:numId w:val="20"/>
              </w:numPr>
            </w:pPr>
            <w:r>
              <w:lastRenderedPageBreak/>
              <w:t>The t</w:t>
            </w:r>
            <w:r w:rsidR="00CB3124" w:rsidRPr="001478F3">
              <w:t xml:space="preserve">ype of evidence needs to fit with how the findings will be used. The NERUPI approach recommends the use of mixed </w:t>
            </w:r>
            <w:r w:rsidR="00CB3124" w:rsidRPr="001478F3">
              <w:lastRenderedPageBreak/>
              <w:t xml:space="preserve">methods and a proportionate approach, where possible triangulating different types of evidence to answer the evaluation questions. </w:t>
            </w:r>
          </w:p>
          <w:p w14:paraId="559BDF25" w14:textId="478BAEFE" w:rsidR="00C1409E" w:rsidRDefault="0076369A" w:rsidP="001C5A91">
            <w:pPr>
              <w:pStyle w:val="ListParagraph"/>
              <w:numPr>
                <w:ilvl w:val="0"/>
                <w:numId w:val="20"/>
              </w:numPr>
            </w:pPr>
            <w:r>
              <w:t>Y</w:t>
            </w:r>
            <w:r w:rsidR="00C104D4">
              <w:t>ou may have</w:t>
            </w:r>
            <w:r w:rsidR="00C1409E" w:rsidRPr="00B63FE7">
              <w:t xml:space="preserve"> to navigate potential trade-offs between desirable methods and what is possible in your circumstances. </w:t>
            </w:r>
          </w:p>
          <w:p w14:paraId="372021EF" w14:textId="62647BBF" w:rsidR="00C1409E" w:rsidRPr="00CB3124" w:rsidRDefault="00C1409E" w:rsidP="001C5A91">
            <w:pPr>
              <w:pStyle w:val="ListParagraph"/>
              <w:numPr>
                <w:ilvl w:val="0"/>
                <w:numId w:val="20"/>
              </w:numPr>
            </w:pPr>
            <w:r w:rsidRPr="00B63FE7">
              <w:t xml:space="preserve">Evaluation is a contested area, so there is a need to understand how the </w:t>
            </w:r>
            <w:r w:rsidR="00CB3124">
              <w:t>methods</w:t>
            </w:r>
            <w:r w:rsidRPr="00B63FE7">
              <w:t xml:space="preserve"> will be judged – e.g.  the quality criteria for different methods and what will be credible with your evaluation </w:t>
            </w:r>
            <w:r w:rsidR="00410C8A">
              <w:t>user</w:t>
            </w:r>
            <w:r w:rsidRPr="00B63FE7">
              <w:t xml:space="preserve">s. </w:t>
            </w:r>
          </w:p>
        </w:tc>
        <w:tc>
          <w:tcPr>
            <w:tcW w:w="3968" w:type="dxa"/>
          </w:tcPr>
          <w:p w14:paraId="2748B309" w14:textId="19EBEB1A" w:rsidR="00C1409E" w:rsidRPr="001478F3" w:rsidRDefault="00C1409E" w:rsidP="00C1409E">
            <w:pPr>
              <w:rPr>
                <w:rFonts w:ascii="Gill Sans MT" w:hAnsi="Gill Sans MT"/>
                <w:color w:val="000000" w:themeColor="text1"/>
                <w:spacing w:val="-2"/>
                <w:sz w:val="20"/>
                <w:szCs w:val="20"/>
              </w:rPr>
            </w:pPr>
            <w:r w:rsidRPr="001478F3">
              <w:rPr>
                <w:rFonts w:ascii="Gill Sans MT" w:hAnsi="Gill Sans MT"/>
                <w:color w:val="000000" w:themeColor="text1"/>
                <w:spacing w:val="-2"/>
                <w:sz w:val="20"/>
                <w:szCs w:val="20"/>
              </w:rPr>
              <w:lastRenderedPageBreak/>
              <w:t xml:space="preserve">NERUPI guide to methods gives an overview of different approaches and links to a series of detailed </w:t>
            </w:r>
            <w:hyperlink r:id="rId33" w:history="1">
              <w:r w:rsidRPr="00F03889">
                <w:rPr>
                  <w:rStyle w:val="Hyperlink"/>
                  <w:rFonts w:ascii="Gill Sans MT" w:hAnsi="Gill Sans MT"/>
                  <w:spacing w:val="-2"/>
                  <w:kern w:val="2"/>
                  <w:sz w:val="20"/>
                  <w:szCs w:val="20"/>
                  <w14:ligatures w14:val="standardContextual"/>
                </w:rPr>
                <w:t>methods guides</w:t>
              </w:r>
            </w:hyperlink>
          </w:p>
          <w:p w14:paraId="5ED6B23C" w14:textId="77777777" w:rsidR="00263BF7" w:rsidRDefault="00263BF7" w:rsidP="00C1409E">
            <w:pPr>
              <w:rPr>
                <w:rFonts w:ascii="Gill Sans MT" w:hAnsi="Gill Sans MT"/>
                <w:color w:val="000000" w:themeColor="text1"/>
                <w:spacing w:val="-2"/>
                <w:sz w:val="20"/>
                <w:szCs w:val="20"/>
              </w:rPr>
            </w:pPr>
          </w:p>
          <w:p w14:paraId="1530387E" w14:textId="75F3FBB5" w:rsidR="00263BF7" w:rsidRDefault="00263BF7" w:rsidP="00C1409E">
            <w:pPr>
              <w:rPr>
                <w:rFonts w:ascii="Gill Sans MT" w:hAnsi="Gill Sans MT"/>
                <w:color w:val="000000" w:themeColor="text1"/>
                <w:spacing w:val="-2"/>
                <w:sz w:val="20"/>
                <w:szCs w:val="20"/>
              </w:rPr>
            </w:pPr>
            <w:r w:rsidRPr="00FA3F7D">
              <w:rPr>
                <w:rFonts w:ascii="Gill Sans MT" w:hAnsi="Gill Sans MT"/>
                <w:color w:val="000000" w:themeColor="text1"/>
                <w:spacing w:val="-2"/>
                <w:sz w:val="20"/>
                <w:szCs w:val="20"/>
              </w:rPr>
              <w:t>Guidance on developing questionnaire surveys (includes cognitive testing advice)</w:t>
            </w:r>
          </w:p>
          <w:p w14:paraId="6E57E918" w14:textId="77777777" w:rsidR="00263BF7" w:rsidRDefault="00263BF7" w:rsidP="00C1409E">
            <w:pPr>
              <w:rPr>
                <w:rFonts w:ascii="Gill Sans MT" w:hAnsi="Gill Sans MT"/>
                <w:color w:val="000000" w:themeColor="text1"/>
                <w:spacing w:val="-2"/>
                <w:sz w:val="20"/>
                <w:szCs w:val="20"/>
              </w:rPr>
            </w:pPr>
          </w:p>
          <w:p w14:paraId="7EC8C23B" w14:textId="4AF343C5" w:rsidR="00263BF7" w:rsidRPr="001478F3" w:rsidRDefault="00263BF7" w:rsidP="00444D16">
            <w:pPr>
              <w:rPr>
                <w:rFonts w:ascii="Gill Sans MT" w:hAnsi="Gill Sans MT"/>
                <w:color w:val="000000" w:themeColor="text1"/>
                <w:spacing w:val="-2"/>
                <w:sz w:val="20"/>
                <w:szCs w:val="20"/>
              </w:rPr>
            </w:pPr>
          </w:p>
          <w:p w14:paraId="76D05B00" w14:textId="77777777" w:rsidR="00263BF7" w:rsidRDefault="00263BF7" w:rsidP="00263BF7">
            <w:pPr>
              <w:rPr>
                <w:rFonts w:ascii="Gill Sans MT" w:hAnsi="Gill Sans MT"/>
                <w:color w:val="000000" w:themeColor="text1"/>
                <w:spacing w:val="-2"/>
                <w:sz w:val="20"/>
                <w:szCs w:val="20"/>
              </w:rPr>
            </w:pPr>
          </w:p>
          <w:p w14:paraId="66C299CD" w14:textId="71A534FF" w:rsidR="00697032" w:rsidRPr="00FA3F7D" w:rsidRDefault="00697032" w:rsidP="00C1409E">
            <w:pPr>
              <w:rPr>
                <w:rFonts w:ascii="Gill Sans MT" w:hAnsi="Gill Sans MT"/>
                <w:color w:val="000000" w:themeColor="text1"/>
                <w:spacing w:val="-2"/>
                <w:sz w:val="20"/>
                <w:szCs w:val="20"/>
              </w:rPr>
            </w:pPr>
          </w:p>
        </w:tc>
      </w:tr>
      <w:tr w:rsidR="00C1409E" w:rsidRPr="00C25316" w14:paraId="764A2703" w14:textId="77777777" w:rsidTr="00715C2A">
        <w:tc>
          <w:tcPr>
            <w:tcW w:w="3256" w:type="dxa"/>
          </w:tcPr>
          <w:p w14:paraId="4A1EC940" w14:textId="3336C3BA" w:rsidR="00C1409E" w:rsidRPr="003149B1" w:rsidRDefault="004031F5"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lastRenderedPageBreak/>
              <w:t>Step 1</w:t>
            </w:r>
            <w:r w:rsidR="005200B5">
              <w:rPr>
                <w:rFonts w:ascii="Gill Sans MT" w:hAnsi="Gill Sans MT"/>
                <w:color w:val="000000" w:themeColor="text1"/>
                <w:spacing w:val="-2"/>
                <w:sz w:val="20"/>
                <w:szCs w:val="20"/>
              </w:rPr>
              <w:t>0</w:t>
            </w:r>
            <w:r>
              <w:rPr>
                <w:rFonts w:ascii="Gill Sans MT" w:hAnsi="Gill Sans MT"/>
                <w:color w:val="000000" w:themeColor="text1"/>
                <w:spacing w:val="-2"/>
                <w:sz w:val="20"/>
                <w:szCs w:val="20"/>
              </w:rPr>
              <w:t xml:space="preserve">) </w:t>
            </w:r>
            <w:r w:rsidR="00C1409E" w:rsidRPr="003149B1">
              <w:rPr>
                <w:rFonts w:ascii="Gill Sans MT" w:hAnsi="Gill Sans MT"/>
                <w:color w:val="000000" w:themeColor="text1"/>
                <w:spacing w:val="-2"/>
                <w:sz w:val="20"/>
                <w:szCs w:val="20"/>
              </w:rPr>
              <w:t>Address</w:t>
            </w:r>
            <w:r w:rsidR="00C1409E">
              <w:rPr>
                <w:rFonts w:ascii="Gill Sans MT" w:hAnsi="Gill Sans MT"/>
                <w:color w:val="000000" w:themeColor="text1"/>
                <w:spacing w:val="-2"/>
                <w:sz w:val="20"/>
                <w:szCs w:val="20"/>
              </w:rPr>
              <w:t xml:space="preserve"> the</w:t>
            </w:r>
            <w:r w:rsidR="00C1409E" w:rsidRPr="003149B1">
              <w:rPr>
                <w:rFonts w:ascii="Gill Sans MT" w:hAnsi="Gill Sans MT"/>
                <w:color w:val="000000" w:themeColor="text1"/>
                <w:spacing w:val="-2"/>
                <w:sz w:val="20"/>
                <w:szCs w:val="20"/>
              </w:rPr>
              <w:t xml:space="preserve"> ethical and legal issues </w:t>
            </w:r>
          </w:p>
          <w:p w14:paraId="5275D22A" w14:textId="77777777" w:rsidR="004031F5" w:rsidRDefault="004031F5" w:rsidP="00C1409E">
            <w:pPr>
              <w:rPr>
                <w:rFonts w:ascii="Gill Sans MT" w:hAnsi="Gill Sans MT"/>
                <w:color w:val="000000" w:themeColor="text1"/>
                <w:spacing w:val="-2"/>
                <w:sz w:val="20"/>
                <w:szCs w:val="20"/>
              </w:rPr>
            </w:pPr>
          </w:p>
          <w:p w14:paraId="1A1B841A" w14:textId="2B9BEE11" w:rsidR="00C1409E" w:rsidRPr="003149B1" w:rsidRDefault="004031F5"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t>Rationale: E</w:t>
            </w:r>
            <w:r w:rsidR="00C1409E" w:rsidRPr="003149B1">
              <w:rPr>
                <w:rFonts w:ascii="Gill Sans MT" w:hAnsi="Gill Sans MT"/>
                <w:color w:val="000000" w:themeColor="text1"/>
                <w:spacing w:val="-2"/>
                <w:sz w:val="20"/>
                <w:szCs w:val="20"/>
              </w:rPr>
              <w:t xml:space="preserve">thics and safety </w:t>
            </w:r>
            <w:r w:rsidR="00EF5DD6">
              <w:rPr>
                <w:rFonts w:ascii="Gill Sans MT" w:hAnsi="Gill Sans MT"/>
                <w:color w:val="000000" w:themeColor="text1"/>
                <w:spacing w:val="-2"/>
                <w:sz w:val="20"/>
                <w:szCs w:val="20"/>
              </w:rPr>
              <w:t>are paramount</w:t>
            </w:r>
            <w:r w:rsidR="00C1409E" w:rsidRPr="003149B1">
              <w:rPr>
                <w:rFonts w:ascii="Gill Sans MT" w:hAnsi="Gill Sans MT"/>
                <w:color w:val="000000" w:themeColor="text1"/>
                <w:spacing w:val="-2"/>
                <w:sz w:val="20"/>
                <w:szCs w:val="20"/>
              </w:rPr>
              <w:t xml:space="preserve">, and this means respecting the rights of </w:t>
            </w:r>
            <w:r w:rsidR="00EF5DD6">
              <w:rPr>
                <w:rFonts w:ascii="Gill Sans MT" w:hAnsi="Gill Sans MT"/>
                <w:color w:val="000000" w:themeColor="text1"/>
                <w:spacing w:val="-2"/>
                <w:sz w:val="20"/>
                <w:szCs w:val="20"/>
              </w:rPr>
              <w:t xml:space="preserve">participants </w:t>
            </w:r>
            <w:r w:rsidR="00C1409E" w:rsidRPr="003149B1">
              <w:rPr>
                <w:rFonts w:ascii="Gill Sans MT" w:hAnsi="Gill Sans MT"/>
                <w:color w:val="000000" w:themeColor="text1"/>
                <w:spacing w:val="-2"/>
                <w:sz w:val="20"/>
                <w:szCs w:val="20"/>
              </w:rPr>
              <w:t xml:space="preserve">and minimising the risk of harm. Policies on research ethics have been agreed for higher education, and most </w:t>
            </w:r>
            <w:r w:rsidR="00C1409E" w:rsidRPr="003149B1">
              <w:rPr>
                <w:rFonts w:ascii="Gill Sans MT" w:hAnsi="Gill Sans MT"/>
                <w:color w:val="000000" w:themeColor="text1"/>
                <w:spacing w:val="-2"/>
                <w:sz w:val="20"/>
                <w:szCs w:val="20"/>
              </w:rPr>
              <w:lastRenderedPageBreak/>
              <w:t xml:space="preserve">providers convene an institutional Research Ethics Committee to make sure that research and evaluation studies are designed ethnically. Data collection, analysis and storage are also subject to a legal framework, implemented by the Information Commissioners’ Office (ICO). </w:t>
            </w:r>
          </w:p>
          <w:p w14:paraId="77B65F05" w14:textId="6F3F90C8" w:rsidR="00C1409E" w:rsidRDefault="00C1409E" w:rsidP="00C1409E">
            <w:pPr>
              <w:rPr>
                <w:rFonts w:ascii="Gill Sans MT" w:hAnsi="Gill Sans MT"/>
                <w:color w:val="000000" w:themeColor="text1"/>
                <w:spacing w:val="-2"/>
                <w:sz w:val="20"/>
                <w:szCs w:val="20"/>
              </w:rPr>
            </w:pPr>
          </w:p>
        </w:tc>
        <w:tc>
          <w:tcPr>
            <w:tcW w:w="4111" w:type="dxa"/>
          </w:tcPr>
          <w:p w14:paraId="65894F2B" w14:textId="006891ED" w:rsidR="00F625D3" w:rsidRDefault="00F625D3" w:rsidP="001C5A91">
            <w:pPr>
              <w:pStyle w:val="ListParagraph"/>
              <w:numPr>
                <w:ilvl w:val="0"/>
                <w:numId w:val="21"/>
              </w:numPr>
            </w:pPr>
            <w:r>
              <w:lastRenderedPageBreak/>
              <w:t xml:space="preserve">Ensure the methods are </w:t>
            </w:r>
            <w:r w:rsidR="00C1409E" w:rsidRPr="00F625D3">
              <w:t xml:space="preserve">ethical, </w:t>
            </w:r>
            <w:proofErr w:type="gramStart"/>
            <w:r w:rsidR="00C1409E" w:rsidRPr="00F625D3">
              <w:t>legal</w:t>
            </w:r>
            <w:proofErr w:type="gramEnd"/>
            <w:r w:rsidR="00C1409E" w:rsidRPr="00F625D3">
              <w:t xml:space="preserve"> and appropriate to the situation, and enabl</w:t>
            </w:r>
            <w:r>
              <w:t>e</w:t>
            </w:r>
            <w:r w:rsidR="00C1409E" w:rsidRPr="00F625D3">
              <w:t xml:space="preserve"> evaluators to act ethically throughout the process of conducting the</w:t>
            </w:r>
            <w:r w:rsidR="006A3F39">
              <w:t xml:space="preserve"> methods</w:t>
            </w:r>
            <w:r w:rsidR="00C1409E" w:rsidRPr="00F625D3">
              <w:t xml:space="preserve">. </w:t>
            </w:r>
          </w:p>
          <w:p w14:paraId="77D2862B" w14:textId="77777777" w:rsidR="006A3F39" w:rsidRDefault="00C1409E" w:rsidP="001C5A91">
            <w:pPr>
              <w:pStyle w:val="ListParagraph"/>
              <w:numPr>
                <w:ilvl w:val="0"/>
                <w:numId w:val="21"/>
              </w:numPr>
            </w:pPr>
            <w:r w:rsidRPr="00F625D3">
              <w:t>Mak</w:t>
            </w:r>
            <w:r w:rsidR="006A3F39">
              <w:t>e</w:t>
            </w:r>
            <w:r w:rsidRPr="00F625D3">
              <w:t xml:space="preserve"> sure the benefits outweigh the </w:t>
            </w:r>
            <w:proofErr w:type="gramStart"/>
            <w:r w:rsidRPr="00F625D3">
              <w:t>risks, and</w:t>
            </w:r>
            <w:proofErr w:type="gramEnd"/>
            <w:r w:rsidRPr="00F625D3">
              <w:t xml:space="preserve"> minimis</w:t>
            </w:r>
            <w:r w:rsidR="006A3F39">
              <w:t>e</w:t>
            </w:r>
            <w:r w:rsidRPr="00F625D3">
              <w:t xml:space="preserve"> the risks through mitigations to minimise the risk of harm. </w:t>
            </w:r>
          </w:p>
          <w:p w14:paraId="263CEAB3" w14:textId="77777777" w:rsidR="001A39B2" w:rsidRDefault="00C1409E" w:rsidP="001C5A91">
            <w:pPr>
              <w:pStyle w:val="ListParagraph"/>
              <w:numPr>
                <w:ilvl w:val="0"/>
                <w:numId w:val="21"/>
              </w:numPr>
            </w:pPr>
            <w:r w:rsidRPr="006A3F39">
              <w:t xml:space="preserve">Protect the rights of individuals who are the subjects of evaluation by making sure they </w:t>
            </w:r>
            <w:r w:rsidRPr="006A3F39">
              <w:lastRenderedPageBreak/>
              <w:t xml:space="preserve">are fully informed of what’s involved, how their information will be used, and have agreed to take part. </w:t>
            </w:r>
          </w:p>
          <w:p w14:paraId="68F37170" w14:textId="340EE61A" w:rsidR="00C1409E" w:rsidRPr="001A39B2" w:rsidRDefault="00C1409E" w:rsidP="001C5A91">
            <w:pPr>
              <w:pStyle w:val="ListParagraph"/>
              <w:numPr>
                <w:ilvl w:val="0"/>
                <w:numId w:val="21"/>
              </w:numPr>
            </w:pPr>
            <w:r w:rsidRPr="001A39B2">
              <w:t>Mak</w:t>
            </w:r>
            <w:r w:rsidR="001A39B2">
              <w:t>e</w:t>
            </w:r>
            <w:r w:rsidRPr="001A39B2">
              <w:t xml:space="preserve"> sure data collection, analysis and storage conforms to laws concerning data protection and harm to others and consumer legislation. </w:t>
            </w:r>
          </w:p>
          <w:p w14:paraId="2A683D40" w14:textId="77777777" w:rsidR="00C1409E" w:rsidRPr="001478F3" w:rsidRDefault="00C1409E" w:rsidP="00533727">
            <w:pPr>
              <w:ind w:left="171"/>
            </w:pPr>
          </w:p>
        </w:tc>
        <w:tc>
          <w:tcPr>
            <w:tcW w:w="4111" w:type="dxa"/>
          </w:tcPr>
          <w:p w14:paraId="5F766387" w14:textId="3126D9FF" w:rsidR="00C1409E" w:rsidRDefault="00C1409E" w:rsidP="001C5A91">
            <w:pPr>
              <w:pStyle w:val="ListParagraph"/>
              <w:numPr>
                <w:ilvl w:val="0"/>
                <w:numId w:val="22"/>
              </w:numPr>
            </w:pPr>
            <w:r>
              <w:lastRenderedPageBreak/>
              <w:t xml:space="preserve">It can sometimes be hard to know which evaluation activities require formal ethnical approval through a Research Ethics Committee and which don’t, especially since programme evaluation studies can be closer </w:t>
            </w:r>
            <w:r>
              <w:lastRenderedPageBreak/>
              <w:t>in nature to audit and feedback activities than to research studies.</w:t>
            </w:r>
            <w:r w:rsidR="00A54C82">
              <w:rPr>
                <w:rStyle w:val="FootnoteReference"/>
              </w:rPr>
              <w:footnoteReference w:id="6"/>
            </w:r>
            <w:r>
              <w:t xml:space="preserve"> </w:t>
            </w:r>
          </w:p>
          <w:p w14:paraId="7C029298" w14:textId="4C437D0F" w:rsidR="00C1409E" w:rsidRPr="00B63FE7" w:rsidRDefault="00C1409E" w:rsidP="001C5A91">
            <w:pPr>
              <w:pStyle w:val="ListParagraph"/>
              <w:numPr>
                <w:ilvl w:val="0"/>
                <w:numId w:val="22"/>
              </w:numPr>
            </w:pPr>
            <w:r>
              <w:t xml:space="preserve">The process of obtaining ethical approval for the evaluation through a university Research Ethics Committee </w:t>
            </w:r>
            <w:r w:rsidR="00FA71AA">
              <w:t>takes time,</w:t>
            </w:r>
            <w:r>
              <w:t xml:space="preserve"> so this needs to be built into the timelines for the evaluation.</w:t>
            </w:r>
          </w:p>
        </w:tc>
        <w:tc>
          <w:tcPr>
            <w:tcW w:w="3968" w:type="dxa"/>
          </w:tcPr>
          <w:p w14:paraId="74A24988" w14:textId="77777777" w:rsidR="00C1409E" w:rsidRPr="003149B1" w:rsidRDefault="00C1409E" w:rsidP="00C1409E">
            <w:pPr>
              <w:rPr>
                <w:rFonts w:ascii="Gill Sans MT" w:hAnsi="Gill Sans MT"/>
                <w:color w:val="000000" w:themeColor="text1"/>
                <w:spacing w:val="-2"/>
                <w:sz w:val="20"/>
                <w:szCs w:val="20"/>
              </w:rPr>
            </w:pPr>
            <w:r w:rsidRPr="003149B1">
              <w:rPr>
                <w:rFonts w:ascii="Gill Sans MT" w:hAnsi="Gill Sans MT"/>
                <w:color w:val="000000" w:themeColor="text1"/>
                <w:spacing w:val="-2"/>
                <w:sz w:val="20"/>
                <w:szCs w:val="20"/>
              </w:rPr>
              <w:lastRenderedPageBreak/>
              <w:t>The NERUPI methods guides include commentary on the key ethical considerations for different types of research methods.</w:t>
            </w:r>
          </w:p>
          <w:p w14:paraId="10EBD06F" w14:textId="40AB8368" w:rsidR="00C1409E" w:rsidRPr="003149B1" w:rsidRDefault="00C1409E" w:rsidP="00C1409E">
            <w:pPr>
              <w:rPr>
                <w:rFonts w:ascii="Gill Sans MT" w:hAnsi="Gill Sans MT"/>
                <w:color w:val="000000" w:themeColor="text1"/>
                <w:spacing w:val="-2"/>
                <w:sz w:val="20"/>
                <w:szCs w:val="20"/>
              </w:rPr>
            </w:pPr>
            <w:r w:rsidRPr="003149B1">
              <w:rPr>
                <w:rFonts w:ascii="Gill Sans MT" w:hAnsi="Gill Sans MT"/>
                <w:color w:val="000000" w:themeColor="text1"/>
                <w:spacing w:val="-2"/>
                <w:sz w:val="20"/>
                <w:szCs w:val="20"/>
              </w:rPr>
              <w:t xml:space="preserve">Comprehensive guidance on navigating </w:t>
            </w:r>
            <w:hyperlink r:id="rId34" w:history="1">
              <w:r w:rsidRPr="00FC0BB5">
                <w:rPr>
                  <w:rStyle w:val="Hyperlink"/>
                  <w:rFonts w:ascii="Gill Sans MT" w:hAnsi="Gill Sans MT"/>
                  <w:spacing w:val="-2"/>
                  <w:kern w:val="2"/>
                  <w:sz w:val="20"/>
                  <w:szCs w:val="20"/>
                  <w14:ligatures w14:val="standardContextual"/>
                </w:rPr>
                <w:t>ethical considerations</w:t>
              </w:r>
            </w:hyperlink>
            <w:r w:rsidRPr="003149B1">
              <w:rPr>
                <w:rFonts w:ascii="Gill Sans MT" w:hAnsi="Gill Sans MT"/>
                <w:color w:val="000000" w:themeColor="text1"/>
                <w:spacing w:val="-2"/>
                <w:sz w:val="20"/>
                <w:szCs w:val="20"/>
              </w:rPr>
              <w:t xml:space="preserve"> in access and participation work has been develop by TASO-HE in partnership with University of Central Lancashire. This includes practical tools and resources (such as templates for obtaining consent). </w:t>
            </w:r>
          </w:p>
          <w:p w14:paraId="41A7E6B3" w14:textId="689474C0" w:rsidR="00C1409E" w:rsidRPr="003149B1" w:rsidRDefault="00C1409E" w:rsidP="00C1409E">
            <w:pPr>
              <w:rPr>
                <w:rFonts w:ascii="Gill Sans MT" w:hAnsi="Gill Sans MT"/>
                <w:color w:val="000000" w:themeColor="text1"/>
                <w:spacing w:val="-2"/>
                <w:sz w:val="20"/>
                <w:szCs w:val="20"/>
              </w:rPr>
            </w:pPr>
            <w:r w:rsidRPr="003149B1">
              <w:rPr>
                <w:rFonts w:ascii="Gill Sans MT" w:hAnsi="Gill Sans MT"/>
                <w:color w:val="000000" w:themeColor="text1"/>
                <w:spacing w:val="-2"/>
                <w:sz w:val="20"/>
                <w:szCs w:val="20"/>
              </w:rPr>
              <w:lastRenderedPageBreak/>
              <w:t xml:space="preserve">HE providers have codes of research ethics setting out the principles and guidelines on the process for scrutiny by the Research Ethics Committee. </w:t>
            </w:r>
          </w:p>
          <w:p w14:paraId="09BEC2F7" w14:textId="675AE074" w:rsidR="00C1409E" w:rsidRPr="001478F3" w:rsidRDefault="00C1409E" w:rsidP="00C1409E">
            <w:pPr>
              <w:rPr>
                <w:rFonts w:ascii="Gill Sans MT" w:hAnsi="Gill Sans MT"/>
                <w:color w:val="000000" w:themeColor="text1"/>
                <w:spacing w:val="-2"/>
                <w:sz w:val="20"/>
                <w:szCs w:val="20"/>
              </w:rPr>
            </w:pPr>
          </w:p>
        </w:tc>
      </w:tr>
      <w:tr w:rsidR="00C1409E" w:rsidRPr="00C25316" w14:paraId="672F37CA" w14:textId="77777777" w:rsidTr="00715C2A">
        <w:tc>
          <w:tcPr>
            <w:tcW w:w="3256" w:type="dxa"/>
          </w:tcPr>
          <w:p w14:paraId="4DFEF0D8" w14:textId="52AEFB11" w:rsidR="00C1409E" w:rsidRDefault="00C1409E"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lastRenderedPageBreak/>
              <w:t>Step 1</w:t>
            </w:r>
            <w:r w:rsidR="0074054C">
              <w:rPr>
                <w:rFonts w:ascii="Gill Sans MT" w:hAnsi="Gill Sans MT"/>
                <w:color w:val="000000" w:themeColor="text1"/>
                <w:spacing w:val="-2"/>
                <w:sz w:val="20"/>
                <w:szCs w:val="20"/>
              </w:rPr>
              <w:t>1</w:t>
            </w:r>
            <w:r>
              <w:rPr>
                <w:rFonts w:ascii="Gill Sans MT" w:hAnsi="Gill Sans MT"/>
                <w:color w:val="000000" w:themeColor="text1"/>
                <w:spacing w:val="-2"/>
                <w:sz w:val="20"/>
                <w:szCs w:val="20"/>
              </w:rPr>
              <w:t xml:space="preserve">) </w:t>
            </w:r>
            <w:r w:rsidR="00764B97">
              <w:rPr>
                <w:rFonts w:ascii="Gill Sans MT" w:hAnsi="Gill Sans MT"/>
                <w:color w:val="000000" w:themeColor="text1"/>
                <w:spacing w:val="-2"/>
                <w:sz w:val="20"/>
                <w:szCs w:val="20"/>
              </w:rPr>
              <w:t>Agree the plan and l</w:t>
            </w:r>
            <w:r>
              <w:rPr>
                <w:rFonts w:ascii="Gill Sans MT" w:hAnsi="Gill Sans MT"/>
                <w:color w:val="000000" w:themeColor="text1"/>
                <w:spacing w:val="-2"/>
                <w:sz w:val="20"/>
                <w:szCs w:val="20"/>
              </w:rPr>
              <w:t>aunch the evaluation</w:t>
            </w:r>
          </w:p>
          <w:p w14:paraId="3319C86D" w14:textId="77777777" w:rsidR="004B5B53" w:rsidRDefault="004B5B53" w:rsidP="00C1409E">
            <w:pPr>
              <w:rPr>
                <w:rFonts w:ascii="Gill Sans MT" w:hAnsi="Gill Sans MT"/>
                <w:color w:val="000000" w:themeColor="text1"/>
                <w:spacing w:val="-2"/>
                <w:sz w:val="20"/>
                <w:szCs w:val="20"/>
              </w:rPr>
            </w:pPr>
          </w:p>
          <w:p w14:paraId="22FE43BB" w14:textId="458E1196" w:rsidR="004B5B53" w:rsidRPr="003149B1" w:rsidRDefault="004B5B53"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t xml:space="preserve">Rationale: </w:t>
            </w:r>
            <w:r w:rsidR="00381334" w:rsidRPr="00381334">
              <w:rPr>
                <w:rFonts w:ascii="Gill Sans MT" w:hAnsi="Gill Sans MT"/>
                <w:color w:val="000000" w:themeColor="text1"/>
                <w:spacing w:val="-2"/>
                <w:sz w:val="20"/>
                <w:szCs w:val="20"/>
              </w:rPr>
              <w:t xml:space="preserve">Although not strictly necessary, having an event or formal communication to launch the evaluation can be a useful opportunity to get buy-in and enhance stakeholders’ understanding of the evaluation. The </w:t>
            </w:r>
            <w:r w:rsidR="00136B35">
              <w:rPr>
                <w:rFonts w:ascii="Gill Sans MT" w:hAnsi="Gill Sans MT"/>
                <w:color w:val="000000" w:themeColor="text1"/>
                <w:spacing w:val="-2"/>
                <w:sz w:val="20"/>
                <w:szCs w:val="20"/>
              </w:rPr>
              <w:t>process can ensure transparency – e.g.</w:t>
            </w:r>
            <w:r w:rsidR="00381334" w:rsidRPr="00381334">
              <w:rPr>
                <w:rFonts w:ascii="Gill Sans MT" w:hAnsi="Gill Sans MT"/>
                <w:color w:val="000000" w:themeColor="text1"/>
                <w:spacing w:val="-2"/>
                <w:sz w:val="20"/>
                <w:szCs w:val="20"/>
              </w:rPr>
              <w:t xml:space="preserve"> materials for informed consent - which </w:t>
            </w:r>
            <w:r w:rsidR="00600393">
              <w:rPr>
                <w:rFonts w:ascii="Gill Sans MT" w:hAnsi="Gill Sans MT"/>
                <w:color w:val="000000" w:themeColor="text1"/>
                <w:spacing w:val="-2"/>
                <w:sz w:val="20"/>
                <w:szCs w:val="20"/>
              </w:rPr>
              <w:t>are</w:t>
            </w:r>
            <w:r w:rsidR="00381334" w:rsidRPr="00381334">
              <w:rPr>
                <w:rFonts w:ascii="Gill Sans MT" w:hAnsi="Gill Sans MT"/>
                <w:color w:val="000000" w:themeColor="text1"/>
                <w:spacing w:val="-2"/>
                <w:sz w:val="20"/>
                <w:szCs w:val="20"/>
              </w:rPr>
              <w:t xml:space="preserve"> needed to communicate the details of what’s involved to the evaluation participants.</w:t>
            </w:r>
          </w:p>
        </w:tc>
        <w:tc>
          <w:tcPr>
            <w:tcW w:w="4111" w:type="dxa"/>
          </w:tcPr>
          <w:p w14:paraId="3D00CFD2" w14:textId="77777777" w:rsidR="00200336" w:rsidRDefault="00200336" w:rsidP="001C5A91">
            <w:pPr>
              <w:pStyle w:val="ListParagraph"/>
              <w:numPr>
                <w:ilvl w:val="0"/>
                <w:numId w:val="23"/>
              </w:numPr>
            </w:pPr>
            <w:r w:rsidRPr="00200336">
              <w:t xml:space="preserve">Agree the evaluation plan and lines of accountability. </w:t>
            </w:r>
          </w:p>
          <w:p w14:paraId="5AAB9F76" w14:textId="78465391" w:rsidR="00C1409E" w:rsidRDefault="00C1409E" w:rsidP="001C5A91">
            <w:pPr>
              <w:pStyle w:val="ListParagraph"/>
              <w:numPr>
                <w:ilvl w:val="0"/>
                <w:numId w:val="23"/>
              </w:numPr>
            </w:pPr>
            <w:r>
              <w:t>Communicate the vision for the evaluation, what’s involved and how the information will be used.</w:t>
            </w:r>
          </w:p>
          <w:p w14:paraId="4E42BC56" w14:textId="77777777" w:rsidR="00147E07" w:rsidRDefault="00C1409E" w:rsidP="001C5A91">
            <w:pPr>
              <w:pStyle w:val="ListParagraph"/>
              <w:numPr>
                <w:ilvl w:val="0"/>
                <w:numId w:val="23"/>
              </w:numPr>
            </w:pPr>
            <w:r>
              <w:t>Make clear the requirements for participation in the evaluation (and different roles if relevant).</w:t>
            </w:r>
            <w:r w:rsidR="0079076C">
              <w:t xml:space="preserve"> </w:t>
            </w:r>
          </w:p>
          <w:p w14:paraId="0F7934AE" w14:textId="3786ED19" w:rsidR="00C1409E" w:rsidRPr="00907C83" w:rsidRDefault="00C1409E" w:rsidP="001C5A91">
            <w:pPr>
              <w:pStyle w:val="ListParagraph"/>
              <w:numPr>
                <w:ilvl w:val="0"/>
                <w:numId w:val="23"/>
              </w:numPr>
            </w:pPr>
            <w:r>
              <w:t>Decid</w:t>
            </w:r>
            <w:r w:rsidR="007D4037">
              <w:t>e</w:t>
            </w:r>
            <w:r>
              <w:t xml:space="preserve"> on the best activity (e.g. launch event, workshop, briefing, </w:t>
            </w:r>
            <w:r w:rsidR="007D4037">
              <w:t xml:space="preserve">web page </w:t>
            </w:r>
            <w:r>
              <w:t xml:space="preserve">etc) should aim to maximise the commitment to the evaluation and communicate what’s involved. </w:t>
            </w:r>
            <w:r w:rsidRPr="00907C83">
              <w:t xml:space="preserve"> </w:t>
            </w:r>
          </w:p>
        </w:tc>
        <w:tc>
          <w:tcPr>
            <w:tcW w:w="4111" w:type="dxa"/>
          </w:tcPr>
          <w:p w14:paraId="41EEA805" w14:textId="77777777" w:rsidR="00C1409E" w:rsidRDefault="00C1409E" w:rsidP="001C5A91">
            <w:pPr>
              <w:pStyle w:val="ListParagraph"/>
              <w:numPr>
                <w:ilvl w:val="0"/>
                <w:numId w:val="24"/>
              </w:numPr>
            </w:pPr>
            <w:r>
              <w:t xml:space="preserve">Managing expectations is a potential issue; there needs to be a positive vision for the evaluation but also realism about the barriers to engagement in the evaluation and the limitations in terms of design and methods. </w:t>
            </w:r>
          </w:p>
          <w:p w14:paraId="37E69F39" w14:textId="03673498" w:rsidR="00C1409E" w:rsidRDefault="00C1409E" w:rsidP="001C5A91">
            <w:pPr>
              <w:pStyle w:val="ListParagraph"/>
              <w:numPr>
                <w:ilvl w:val="0"/>
                <w:numId w:val="24"/>
              </w:numPr>
            </w:pPr>
            <w:r>
              <w:t xml:space="preserve">Hopefully any conflicts around design and methods for evaluation will have been resolved before the launch but evaluators need to be prepared to debate the choices made and be able to defend the methods and convince others of the utility of the approach chosen.  </w:t>
            </w:r>
          </w:p>
        </w:tc>
        <w:tc>
          <w:tcPr>
            <w:tcW w:w="3968" w:type="dxa"/>
          </w:tcPr>
          <w:p w14:paraId="789F0726" w14:textId="6535CDA7" w:rsidR="00C1409E" w:rsidRDefault="00C1409E" w:rsidP="00C665B5">
            <w:pPr>
              <w:pStyle w:val="Body"/>
            </w:pPr>
            <w:r>
              <w:t xml:space="preserve">Guidance on evaluation work </w:t>
            </w:r>
            <w:hyperlink r:id="rId35" w:anchor="entry:6774@1:url" w:history="1">
              <w:r w:rsidRPr="0025626E">
                <w:rPr>
                  <w:rStyle w:val="Hyperlink"/>
                </w:rPr>
                <w:t>planning</w:t>
              </w:r>
            </w:hyperlink>
            <w:r>
              <w:t xml:space="preserve"> (with links to the HEAT Evaluation planning tool) </w:t>
            </w:r>
          </w:p>
          <w:p w14:paraId="25772766" w14:textId="77777777" w:rsidR="00C1409E" w:rsidRPr="003149B1" w:rsidRDefault="00C1409E" w:rsidP="00C1409E">
            <w:pPr>
              <w:rPr>
                <w:rFonts w:ascii="Gill Sans MT" w:hAnsi="Gill Sans MT"/>
                <w:color w:val="000000" w:themeColor="text1"/>
                <w:spacing w:val="-2"/>
                <w:sz w:val="20"/>
                <w:szCs w:val="20"/>
              </w:rPr>
            </w:pPr>
          </w:p>
        </w:tc>
      </w:tr>
      <w:tr w:rsidR="00C1409E" w:rsidRPr="00C25316" w14:paraId="335DC247" w14:textId="77777777" w:rsidTr="00715C2A">
        <w:tc>
          <w:tcPr>
            <w:tcW w:w="3256" w:type="dxa"/>
          </w:tcPr>
          <w:p w14:paraId="2FE26EB4" w14:textId="7E966D4B" w:rsidR="00C1409E" w:rsidRDefault="00187CEC"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t>Step 1</w:t>
            </w:r>
            <w:r w:rsidR="005B5053">
              <w:rPr>
                <w:rFonts w:ascii="Gill Sans MT" w:hAnsi="Gill Sans MT"/>
                <w:color w:val="000000" w:themeColor="text1"/>
                <w:spacing w:val="-2"/>
                <w:sz w:val="20"/>
                <w:szCs w:val="20"/>
              </w:rPr>
              <w:t>2</w:t>
            </w:r>
            <w:r w:rsidR="00417E99">
              <w:rPr>
                <w:rFonts w:ascii="Gill Sans MT" w:hAnsi="Gill Sans MT"/>
                <w:color w:val="000000" w:themeColor="text1"/>
                <w:spacing w:val="-2"/>
                <w:sz w:val="20"/>
                <w:szCs w:val="20"/>
              </w:rPr>
              <w:t xml:space="preserve">) </w:t>
            </w:r>
            <w:r w:rsidR="00833BD0">
              <w:rPr>
                <w:rFonts w:ascii="Gill Sans MT" w:hAnsi="Gill Sans MT"/>
                <w:color w:val="000000" w:themeColor="text1"/>
                <w:spacing w:val="-2"/>
                <w:sz w:val="20"/>
                <w:szCs w:val="20"/>
              </w:rPr>
              <w:t>Manage the c</w:t>
            </w:r>
            <w:r w:rsidR="00C1409E">
              <w:rPr>
                <w:rFonts w:ascii="Gill Sans MT" w:hAnsi="Gill Sans MT"/>
                <w:color w:val="000000" w:themeColor="text1"/>
                <w:spacing w:val="-2"/>
                <w:sz w:val="20"/>
                <w:szCs w:val="20"/>
              </w:rPr>
              <w:t>ollect</w:t>
            </w:r>
            <w:r w:rsidR="00833BD0">
              <w:rPr>
                <w:rFonts w:ascii="Gill Sans MT" w:hAnsi="Gill Sans MT"/>
                <w:color w:val="000000" w:themeColor="text1"/>
                <w:spacing w:val="-2"/>
                <w:sz w:val="20"/>
                <w:szCs w:val="20"/>
              </w:rPr>
              <w:t>ion</w:t>
            </w:r>
            <w:r w:rsidR="00C1409E">
              <w:rPr>
                <w:rFonts w:ascii="Gill Sans MT" w:hAnsi="Gill Sans MT"/>
                <w:color w:val="000000" w:themeColor="text1"/>
                <w:spacing w:val="-2"/>
                <w:sz w:val="20"/>
                <w:szCs w:val="20"/>
              </w:rPr>
              <w:t xml:space="preserve"> </w:t>
            </w:r>
            <w:r w:rsidR="00833BD0">
              <w:rPr>
                <w:rFonts w:ascii="Gill Sans MT" w:hAnsi="Gill Sans MT"/>
                <w:color w:val="000000" w:themeColor="text1"/>
                <w:spacing w:val="-2"/>
                <w:sz w:val="20"/>
                <w:szCs w:val="20"/>
              </w:rPr>
              <w:t xml:space="preserve">and collation of </w:t>
            </w:r>
            <w:r w:rsidR="00C1409E">
              <w:rPr>
                <w:rFonts w:ascii="Gill Sans MT" w:hAnsi="Gill Sans MT"/>
                <w:color w:val="000000" w:themeColor="text1"/>
                <w:spacing w:val="-2"/>
                <w:sz w:val="20"/>
                <w:szCs w:val="20"/>
              </w:rPr>
              <w:t xml:space="preserve">evaluation </w:t>
            </w:r>
            <w:r w:rsidR="00833BD0">
              <w:rPr>
                <w:rFonts w:ascii="Gill Sans MT" w:hAnsi="Gill Sans MT"/>
                <w:color w:val="000000" w:themeColor="text1"/>
                <w:spacing w:val="-2"/>
                <w:sz w:val="20"/>
                <w:szCs w:val="20"/>
              </w:rPr>
              <w:t>evidence</w:t>
            </w:r>
            <w:r w:rsidR="00C1409E">
              <w:rPr>
                <w:rFonts w:ascii="Gill Sans MT" w:hAnsi="Gill Sans MT"/>
                <w:color w:val="000000" w:themeColor="text1"/>
                <w:spacing w:val="-2"/>
                <w:sz w:val="20"/>
                <w:szCs w:val="20"/>
              </w:rPr>
              <w:t xml:space="preserve"> (with attention to use)</w:t>
            </w:r>
          </w:p>
          <w:p w14:paraId="36E0B97D" w14:textId="77777777" w:rsidR="00385FFC" w:rsidRDefault="00385FFC" w:rsidP="00C1409E">
            <w:pPr>
              <w:rPr>
                <w:rFonts w:ascii="Gill Sans MT" w:hAnsi="Gill Sans MT"/>
                <w:color w:val="000000" w:themeColor="text1"/>
                <w:spacing w:val="-2"/>
                <w:sz w:val="20"/>
                <w:szCs w:val="20"/>
              </w:rPr>
            </w:pPr>
          </w:p>
          <w:p w14:paraId="13700356" w14:textId="2EAD1B70" w:rsidR="00385FFC" w:rsidRDefault="000F3323" w:rsidP="004D0C84">
            <w:pPr>
              <w:rPr>
                <w:rFonts w:ascii="Gill Sans MT" w:hAnsi="Gill Sans MT"/>
                <w:color w:val="000000" w:themeColor="text1"/>
                <w:spacing w:val="-2"/>
                <w:sz w:val="20"/>
                <w:szCs w:val="20"/>
              </w:rPr>
            </w:pPr>
            <w:r>
              <w:rPr>
                <w:rFonts w:ascii="Gill Sans MT" w:hAnsi="Gill Sans MT"/>
                <w:spacing w:val="-2"/>
                <w:sz w:val="20"/>
              </w:rPr>
              <w:t xml:space="preserve">Rationale: </w:t>
            </w:r>
            <w:r w:rsidRPr="000F3323">
              <w:rPr>
                <w:rFonts w:ascii="Gill Sans MT" w:hAnsi="Gill Sans MT"/>
                <w:spacing w:val="-2"/>
                <w:sz w:val="20"/>
              </w:rPr>
              <w:t xml:space="preserve">evaluation evidence may be drawn from various </w:t>
            </w:r>
            <w:proofErr w:type="gramStart"/>
            <w:r w:rsidRPr="000F3323">
              <w:rPr>
                <w:rFonts w:ascii="Gill Sans MT" w:hAnsi="Gill Sans MT"/>
                <w:spacing w:val="-2"/>
                <w:sz w:val="20"/>
              </w:rPr>
              <w:t>sources</w:t>
            </w:r>
            <w:proofErr w:type="gramEnd"/>
            <w:r w:rsidRPr="000F3323">
              <w:rPr>
                <w:rFonts w:ascii="Gill Sans MT" w:hAnsi="Gill Sans MT"/>
                <w:spacing w:val="-2"/>
                <w:sz w:val="20"/>
              </w:rPr>
              <w:t xml:space="preserve"> so management systems and processes are needed to ensure rigour, plus the </w:t>
            </w:r>
            <w:r w:rsidRPr="000F3323">
              <w:rPr>
                <w:rFonts w:ascii="Gill Sans MT" w:hAnsi="Gill Sans MT"/>
                <w:spacing w:val="-2"/>
                <w:sz w:val="20"/>
              </w:rPr>
              <w:lastRenderedPageBreak/>
              <w:t>emerging evidence needs to be looked at to make sure it's fit for purpose (for example, running a pilot first and making adaptations if necessary).</w:t>
            </w:r>
          </w:p>
        </w:tc>
        <w:tc>
          <w:tcPr>
            <w:tcW w:w="4111" w:type="dxa"/>
          </w:tcPr>
          <w:p w14:paraId="333E7850" w14:textId="0229F5D4" w:rsidR="00C1409E" w:rsidRDefault="00C1409E" w:rsidP="001C5A91">
            <w:pPr>
              <w:pStyle w:val="ListParagraph"/>
              <w:numPr>
                <w:ilvl w:val="0"/>
                <w:numId w:val="25"/>
              </w:numPr>
            </w:pPr>
            <w:r>
              <w:lastRenderedPageBreak/>
              <w:t>Mak</w:t>
            </w:r>
            <w:r w:rsidR="00303D01">
              <w:t>e</w:t>
            </w:r>
            <w:r>
              <w:t xml:space="preserve"> sure data collection is managed to ensure quality and </w:t>
            </w:r>
            <w:r w:rsidR="00303D01">
              <w:t xml:space="preserve">data </w:t>
            </w:r>
            <w:r>
              <w:t xml:space="preserve">that is credible and reliable. </w:t>
            </w:r>
            <w:r w:rsidR="00147E07" w:rsidRPr="00147E07">
              <w:t xml:space="preserve">Processes and standards for evaluation are needed if data collection happens in different places (e.g. in schools participating in outreach) so the ‘rules’ need to be clear – e.g. around consistency, how </w:t>
            </w:r>
            <w:r w:rsidR="00147E07" w:rsidRPr="00147E07">
              <w:lastRenderedPageBreak/>
              <w:t>to go about recording of information, and arrangements for secure data sharing etc.</w:t>
            </w:r>
          </w:p>
          <w:p w14:paraId="52A78A32" w14:textId="77777777" w:rsidR="00234C1F" w:rsidRDefault="00234C1F" w:rsidP="001C5A91">
            <w:pPr>
              <w:pStyle w:val="ListParagraph"/>
              <w:numPr>
                <w:ilvl w:val="0"/>
                <w:numId w:val="25"/>
              </w:numPr>
            </w:pPr>
            <w:r>
              <w:t>Address any capacity problems, supporting the data collection (e.g. training practitioners in data collection processes).</w:t>
            </w:r>
          </w:p>
          <w:p w14:paraId="7E9A75CB" w14:textId="5510B827" w:rsidR="00C1409E" w:rsidRDefault="00C1409E" w:rsidP="001C5A91">
            <w:pPr>
              <w:pStyle w:val="ListParagraph"/>
              <w:numPr>
                <w:ilvl w:val="0"/>
                <w:numId w:val="25"/>
              </w:numPr>
            </w:pPr>
            <w:r>
              <w:t>Simulat</w:t>
            </w:r>
            <w:r w:rsidR="00303D01">
              <w:t>e</w:t>
            </w:r>
            <w:r>
              <w:t xml:space="preserve"> the analysis and </w:t>
            </w:r>
            <w:r w:rsidR="00493954">
              <w:t xml:space="preserve">data </w:t>
            </w:r>
            <w:r>
              <w:t xml:space="preserve">presentation (real or dummy data) to </w:t>
            </w:r>
            <w:r w:rsidR="00493954">
              <w:t xml:space="preserve">make sure </w:t>
            </w:r>
            <w:r>
              <w:t xml:space="preserve">the data meets the needs of the evaluation. It can also be helpful to prepare stakeholders for what to expect, </w:t>
            </w:r>
            <w:r w:rsidR="005C6DA8">
              <w:t xml:space="preserve">and </w:t>
            </w:r>
            <w:r>
              <w:t xml:space="preserve">how the results can be used. </w:t>
            </w:r>
          </w:p>
          <w:p w14:paraId="06A5D9B2" w14:textId="7A980E16" w:rsidR="00C1409E" w:rsidRDefault="00C1409E" w:rsidP="001C5A91">
            <w:pPr>
              <w:pStyle w:val="ListParagraph"/>
              <w:numPr>
                <w:ilvl w:val="0"/>
                <w:numId w:val="25"/>
              </w:numPr>
            </w:pPr>
            <w:r>
              <w:t>Mak</w:t>
            </w:r>
            <w:r w:rsidR="005C6DA8">
              <w:t>e</w:t>
            </w:r>
            <w:r>
              <w:t xml:space="preserve"> changes </w:t>
            </w:r>
            <w:r w:rsidR="0062328E">
              <w:t xml:space="preserve">to data collection if needed </w:t>
            </w:r>
            <w:r>
              <w:t xml:space="preserve">(whilst keeping the evaluation users informed). </w:t>
            </w:r>
          </w:p>
          <w:p w14:paraId="55C20404" w14:textId="4E295F72" w:rsidR="00C1409E" w:rsidRDefault="00A574BD" w:rsidP="001C5A91">
            <w:pPr>
              <w:pStyle w:val="ListParagraph"/>
              <w:numPr>
                <w:ilvl w:val="0"/>
                <w:numId w:val="25"/>
              </w:numPr>
            </w:pPr>
            <w:r>
              <w:t>Ensure</w:t>
            </w:r>
            <w:r w:rsidR="00C1409E">
              <w:t xml:space="preserve"> everyone’s contribution is valued</w:t>
            </w:r>
            <w:r w:rsidR="002A6DB4">
              <w:t xml:space="preserve">. </w:t>
            </w:r>
            <w:r w:rsidR="00C1409E">
              <w:t xml:space="preserve"> </w:t>
            </w:r>
          </w:p>
          <w:p w14:paraId="4B3CC03A" w14:textId="77777777" w:rsidR="00C1409E" w:rsidRDefault="00C1409E" w:rsidP="00D55569">
            <w:pPr>
              <w:ind w:left="360"/>
            </w:pPr>
          </w:p>
        </w:tc>
        <w:tc>
          <w:tcPr>
            <w:tcW w:w="4111" w:type="dxa"/>
          </w:tcPr>
          <w:p w14:paraId="45F6E491" w14:textId="0B247721" w:rsidR="00C1409E" w:rsidRDefault="00C1409E" w:rsidP="001C5A91">
            <w:pPr>
              <w:pStyle w:val="ListParagraph"/>
              <w:numPr>
                <w:ilvl w:val="0"/>
                <w:numId w:val="26"/>
              </w:numPr>
            </w:pPr>
            <w:r>
              <w:lastRenderedPageBreak/>
              <w:t xml:space="preserve">Communicating what’s required in terms of data collection process can be challenging, especially where there are multiple </w:t>
            </w:r>
            <w:r w:rsidR="00CB7785">
              <w:t xml:space="preserve">delivery </w:t>
            </w:r>
            <w:r>
              <w:t>involved and there is limited capacity.</w:t>
            </w:r>
            <w:r w:rsidR="00C321E8">
              <w:t xml:space="preserve"> Those who support collection of evidence </w:t>
            </w:r>
            <w:r>
              <w:t xml:space="preserve">need enough information on the requirements without </w:t>
            </w:r>
            <w:r w:rsidR="00C87799">
              <w:t xml:space="preserve">being </w:t>
            </w:r>
            <w:r>
              <w:t>over-whelm</w:t>
            </w:r>
            <w:r w:rsidR="00C87799">
              <w:t>ed</w:t>
            </w:r>
            <w:r>
              <w:t xml:space="preserve"> with masses of technical detail. </w:t>
            </w:r>
          </w:p>
          <w:p w14:paraId="2BAB6DE9" w14:textId="16315DCF" w:rsidR="00C1409E" w:rsidRDefault="00C1409E" w:rsidP="001C5A91">
            <w:pPr>
              <w:pStyle w:val="ListParagraph"/>
              <w:numPr>
                <w:ilvl w:val="0"/>
                <w:numId w:val="26"/>
              </w:numPr>
            </w:pPr>
            <w:r>
              <w:lastRenderedPageBreak/>
              <w:t xml:space="preserve">There is the issue of making sure processes are maximising the data collection without inappropriately affecting responses or the </w:t>
            </w:r>
            <w:r w:rsidR="00FC7712">
              <w:t>validity</w:t>
            </w:r>
            <w:r>
              <w:t xml:space="preserve"> of the results. </w:t>
            </w:r>
          </w:p>
          <w:p w14:paraId="74A73D92" w14:textId="16565036" w:rsidR="00C1409E" w:rsidRPr="008652C6" w:rsidRDefault="00FC7712" w:rsidP="001C5A91">
            <w:pPr>
              <w:pStyle w:val="ListParagraph"/>
              <w:numPr>
                <w:ilvl w:val="0"/>
                <w:numId w:val="26"/>
              </w:numPr>
            </w:pPr>
            <w:r>
              <w:t>It’</w:t>
            </w:r>
            <w:r w:rsidR="00C1409E">
              <w:t>s good to anticipate the analysis and results, and to alert the evaluat</w:t>
            </w:r>
            <w:r w:rsidR="001F09BB">
              <w:t xml:space="preserve">ion users </w:t>
            </w:r>
            <w:r w:rsidR="00C1409E">
              <w:t>to emerging data</w:t>
            </w:r>
            <w:r w:rsidR="001F09BB">
              <w:t xml:space="preserve"> (although </w:t>
            </w:r>
            <w:r w:rsidR="00C1409E">
              <w:t>it’s also important to differentiate between initial/early findings and the final results – so distribution of interim reports needs to be limited</w:t>
            </w:r>
            <w:r w:rsidR="001F09BB">
              <w:t>)</w:t>
            </w:r>
            <w:r w:rsidR="00C1409E">
              <w:t xml:space="preserve">. </w:t>
            </w:r>
          </w:p>
        </w:tc>
        <w:tc>
          <w:tcPr>
            <w:tcW w:w="3968" w:type="dxa"/>
          </w:tcPr>
          <w:p w14:paraId="3E9DE744" w14:textId="746628D2" w:rsidR="00A22F30" w:rsidRPr="00A22F30" w:rsidRDefault="00A22F30" w:rsidP="00A22F30">
            <w:pPr>
              <w:rPr>
                <w:rFonts w:ascii="Gill Sans MT" w:hAnsi="Gill Sans MT"/>
                <w:color w:val="000000" w:themeColor="text1"/>
                <w:spacing w:val="-2"/>
                <w:sz w:val="20"/>
                <w:szCs w:val="20"/>
              </w:rPr>
            </w:pPr>
            <w:r w:rsidRPr="00FA3F7D">
              <w:rPr>
                <w:rFonts w:ascii="Gill Sans MT" w:hAnsi="Gill Sans MT"/>
                <w:color w:val="000000" w:themeColor="text1"/>
                <w:spacing w:val="-2"/>
                <w:sz w:val="20"/>
                <w:szCs w:val="20"/>
              </w:rPr>
              <w:lastRenderedPageBreak/>
              <w:t>Guidance on developing questionnaire surveys (includes cognitive testing advice)</w:t>
            </w:r>
          </w:p>
          <w:p w14:paraId="716B2ABB" w14:textId="77777777" w:rsidR="00A22F30" w:rsidRDefault="00A22F30" w:rsidP="00C665B5">
            <w:pPr>
              <w:pStyle w:val="Body"/>
            </w:pPr>
          </w:p>
          <w:p w14:paraId="67BB547A" w14:textId="4ABDE0F0" w:rsidR="00C1409E" w:rsidRDefault="00E600B6" w:rsidP="00C665B5">
            <w:pPr>
              <w:pStyle w:val="Body"/>
            </w:pPr>
            <w:r>
              <w:t xml:space="preserve">Need to consider </w:t>
            </w:r>
            <w:r w:rsidR="00FF714D">
              <w:t xml:space="preserve">what tools evaluators are using to manage evaluations in practice? </w:t>
            </w:r>
          </w:p>
          <w:p w14:paraId="4EF1F556" w14:textId="77777777" w:rsidR="00C1409E" w:rsidRDefault="00C1409E" w:rsidP="00C665B5">
            <w:pPr>
              <w:pStyle w:val="Body"/>
            </w:pPr>
          </w:p>
        </w:tc>
      </w:tr>
      <w:tr w:rsidR="00C1409E" w:rsidRPr="00C25316" w14:paraId="5FFDBDEA" w14:textId="77777777" w:rsidTr="00715C2A">
        <w:tc>
          <w:tcPr>
            <w:tcW w:w="3256" w:type="dxa"/>
          </w:tcPr>
          <w:p w14:paraId="4485814F" w14:textId="686FBEF5" w:rsidR="00C1409E" w:rsidRDefault="00B16096"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t>Step 1</w:t>
            </w:r>
            <w:r w:rsidR="00A22F30">
              <w:rPr>
                <w:rFonts w:ascii="Gill Sans MT" w:hAnsi="Gill Sans MT"/>
                <w:color w:val="000000" w:themeColor="text1"/>
                <w:spacing w:val="-2"/>
                <w:sz w:val="20"/>
                <w:szCs w:val="20"/>
              </w:rPr>
              <w:t>3</w:t>
            </w:r>
            <w:r>
              <w:rPr>
                <w:rFonts w:ascii="Gill Sans MT" w:hAnsi="Gill Sans MT"/>
                <w:color w:val="000000" w:themeColor="text1"/>
                <w:spacing w:val="-2"/>
                <w:sz w:val="20"/>
                <w:szCs w:val="20"/>
              </w:rPr>
              <w:t xml:space="preserve">) </w:t>
            </w:r>
            <w:r w:rsidR="00C1409E">
              <w:rPr>
                <w:rFonts w:ascii="Gill Sans MT" w:hAnsi="Gill Sans MT"/>
                <w:color w:val="000000" w:themeColor="text1"/>
                <w:spacing w:val="-2"/>
                <w:sz w:val="20"/>
                <w:szCs w:val="20"/>
              </w:rPr>
              <w:t>Analyse and interpret the data to answer the question(s)</w:t>
            </w:r>
          </w:p>
          <w:p w14:paraId="3B81DF33" w14:textId="77777777" w:rsidR="00A61A03" w:rsidRDefault="00A61A03" w:rsidP="00C1409E">
            <w:pPr>
              <w:rPr>
                <w:rFonts w:ascii="Gill Sans MT" w:hAnsi="Gill Sans MT"/>
                <w:color w:val="000000" w:themeColor="text1"/>
                <w:spacing w:val="-2"/>
                <w:sz w:val="20"/>
                <w:szCs w:val="20"/>
              </w:rPr>
            </w:pPr>
          </w:p>
          <w:p w14:paraId="1CAF2F52" w14:textId="036BEE2E" w:rsidR="009D2D3A" w:rsidRDefault="00A61A03" w:rsidP="00C1409E">
            <w:pPr>
              <w:rPr>
                <w:rFonts w:ascii="Gill Sans MT" w:hAnsi="Gill Sans MT"/>
                <w:spacing w:val="-2"/>
                <w:sz w:val="20"/>
              </w:rPr>
            </w:pPr>
            <w:r w:rsidRPr="00A61A03">
              <w:rPr>
                <w:rFonts w:ascii="Gill Sans MT" w:hAnsi="Gill Sans MT"/>
                <w:spacing w:val="-2"/>
                <w:sz w:val="20"/>
              </w:rPr>
              <w:t xml:space="preserve">Rationale: </w:t>
            </w:r>
            <w:r w:rsidR="00B01580">
              <w:rPr>
                <w:rFonts w:ascii="Gill Sans MT" w:hAnsi="Gill Sans MT"/>
                <w:spacing w:val="-2"/>
                <w:sz w:val="20"/>
              </w:rPr>
              <w:t>T</w:t>
            </w:r>
            <w:r w:rsidR="00F56207">
              <w:rPr>
                <w:rFonts w:ascii="Gill Sans MT" w:hAnsi="Gill Sans MT"/>
                <w:spacing w:val="-2"/>
                <w:sz w:val="20"/>
              </w:rPr>
              <w:t xml:space="preserve">here needs to be a focus on </w:t>
            </w:r>
            <w:r w:rsidR="00DB43C8">
              <w:rPr>
                <w:rFonts w:ascii="Gill Sans MT" w:hAnsi="Gill Sans MT"/>
                <w:spacing w:val="-2"/>
                <w:sz w:val="20"/>
              </w:rPr>
              <w:t>process</w:t>
            </w:r>
            <w:r w:rsidR="00B01580">
              <w:rPr>
                <w:rFonts w:ascii="Gill Sans MT" w:hAnsi="Gill Sans MT"/>
                <w:spacing w:val="-2"/>
                <w:sz w:val="20"/>
              </w:rPr>
              <w:t>es</w:t>
            </w:r>
            <w:r w:rsidR="00DB43C8">
              <w:rPr>
                <w:rFonts w:ascii="Gill Sans MT" w:hAnsi="Gill Sans MT"/>
                <w:spacing w:val="-2"/>
                <w:sz w:val="20"/>
              </w:rPr>
              <w:t xml:space="preserve"> and resources for </w:t>
            </w:r>
            <w:r w:rsidR="00C2110E">
              <w:rPr>
                <w:rFonts w:ascii="Gill Sans MT" w:hAnsi="Gill Sans MT"/>
                <w:spacing w:val="-2"/>
                <w:sz w:val="20"/>
              </w:rPr>
              <w:t xml:space="preserve">undertaking the analysis </w:t>
            </w:r>
            <w:r w:rsidR="00DB43C8">
              <w:rPr>
                <w:rFonts w:ascii="Gill Sans MT" w:hAnsi="Gill Sans MT"/>
                <w:spacing w:val="-2"/>
                <w:sz w:val="20"/>
              </w:rPr>
              <w:t>since this tends to be time-consuming and reli</w:t>
            </w:r>
            <w:r w:rsidR="000F5047">
              <w:rPr>
                <w:rFonts w:ascii="Gill Sans MT" w:hAnsi="Gill Sans MT"/>
                <w:spacing w:val="-2"/>
                <w:sz w:val="20"/>
              </w:rPr>
              <w:t>ant</w:t>
            </w:r>
            <w:r w:rsidR="00DB43C8">
              <w:rPr>
                <w:rFonts w:ascii="Gill Sans MT" w:hAnsi="Gill Sans MT"/>
                <w:spacing w:val="-2"/>
                <w:sz w:val="20"/>
              </w:rPr>
              <w:t xml:space="preserve"> of </w:t>
            </w:r>
            <w:r w:rsidR="00520BE6">
              <w:rPr>
                <w:rFonts w:ascii="Gill Sans MT" w:hAnsi="Gill Sans MT"/>
                <w:spacing w:val="-2"/>
                <w:sz w:val="20"/>
              </w:rPr>
              <w:t xml:space="preserve">specific kinds of expertise. </w:t>
            </w:r>
            <w:r w:rsidR="000F5047">
              <w:rPr>
                <w:rFonts w:ascii="Gill Sans MT" w:hAnsi="Gill Sans MT"/>
                <w:spacing w:val="-2"/>
                <w:sz w:val="20"/>
              </w:rPr>
              <w:t xml:space="preserve">It can often be the ‘weak link’ in evaluation. </w:t>
            </w:r>
            <w:r w:rsidR="000F5047" w:rsidRPr="00A61A03">
              <w:rPr>
                <w:rFonts w:ascii="Gill Sans MT" w:hAnsi="Gill Sans MT"/>
                <w:spacing w:val="-2"/>
                <w:sz w:val="20"/>
              </w:rPr>
              <w:t xml:space="preserve">How the data will be </w:t>
            </w:r>
            <w:proofErr w:type="gramStart"/>
            <w:r w:rsidR="000F5047" w:rsidRPr="00A61A03">
              <w:rPr>
                <w:rFonts w:ascii="Gill Sans MT" w:hAnsi="Gill Sans MT"/>
                <w:spacing w:val="-2"/>
                <w:sz w:val="20"/>
              </w:rPr>
              <w:t>analysed</w:t>
            </w:r>
            <w:proofErr w:type="gramEnd"/>
            <w:r w:rsidR="000F5047" w:rsidRPr="00A61A03">
              <w:rPr>
                <w:rFonts w:ascii="Gill Sans MT" w:hAnsi="Gill Sans MT"/>
                <w:spacing w:val="-2"/>
                <w:sz w:val="20"/>
              </w:rPr>
              <w:t xml:space="preserve"> </w:t>
            </w:r>
            <w:r w:rsidR="00DA36E3">
              <w:rPr>
                <w:rFonts w:ascii="Gill Sans MT" w:hAnsi="Gill Sans MT"/>
                <w:spacing w:val="-2"/>
                <w:sz w:val="20"/>
              </w:rPr>
              <w:t xml:space="preserve">and the resources required </w:t>
            </w:r>
            <w:r w:rsidR="000F5047" w:rsidRPr="00A61A03">
              <w:rPr>
                <w:rFonts w:ascii="Gill Sans MT" w:hAnsi="Gill Sans MT"/>
                <w:spacing w:val="-2"/>
                <w:sz w:val="20"/>
              </w:rPr>
              <w:t>should have been agreed in the early stages as part of the process of agreeing the evaluation design and methods.</w:t>
            </w:r>
            <w:r w:rsidR="00DA36E3">
              <w:rPr>
                <w:rFonts w:ascii="Gill Sans MT" w:hAnsi="Gill Sans MT"/>
                <w:spacing w:val="-2"/>
                <w:sz w:val="20"/>
              </w:rPr>
              <w:t xml:space="preserve"> </w:t>
            </w:r>
          </w:p>
          <w:p w14:paraId="16CC5D4C" w14:textId="77777777" w:rsidR="009D2D3A" w:rsidRDefault="009D2D3A" w:rsidP="00C1409E">
            <w:pPr>
              <w:rPr>
                <w:rFonts w:ascii="Gill Sans MT" w:hAnsi="Gill Sans MT"/>
                <w:spacing w:val="-2"/>
                <w:sz w:val="20"/>
              </w:rPr>
            </w:pPr>
          </w:p>
          <w:p w14:paraId="0E4C124F" w14:textId="4DB614B0" w:rsidR="00A61A03" w:rsidRDefault="00A61A03" w:rsidP="00C1409E">
            <w:pPr>
              <w:rPr>
                <w:rFonts w:ascii="Gill Sans MT" w:hAnsi="Gill Sans MT"/>
                <w:color w:val="000000" w:themeColor="text1"/>
                <w:spacing w:val="-2"/>
                <w:sz w:val="20"/>
                <w:szCs w:val="20"/>
              </w:rPr>
            </w:pPr>
          </w:p>
        </w:tc>
        <w:tc>
          <w:tcPr>
            <w:tcW w:w="4111" w:type="dxa"/>
          </w:tcPr>
          <w:p w14:paraId="57925443" w14:textId="2FF1AABD" w:rsidR="00C1409E" w:rsidRDefault="00C1409E" w:rsidP="001C5A91">
            <w:pPr>
              <w:pStyle w:val="ListParagraph"/>
              <w:numPr>
                <w:ilvl w:val="0"/>
                <w:numId w:val="27"/>
              </w:numPr>
            </w:pPr>
            <w:r>
              <w:t>Organise the data into useable format and assess it</w:t>
            </w:r>
            <w:r w:rsidR="007377CD">
              <w:t xml:space="preserve"> </w:t>
            </w:r>
            <w:r>
              <w:t>(for example, collating survey results into a format that can be analysed or transcribing comments from interviews/focus groups</w:t>
            </w:r>
            <w:r w:rsidR="007377CD">
              <w:t>)</w:t>
            </w:r>
            <w:r>
              <w:t xml:space="preserve">. </w:t>
            </w:r>
          </w:p>
          <w:p w14:paraId="4465B8D3" w14:textId="1BFDEB1F" w:rsidR="004961FC" w:rsidRPr="003C452D" w:rsidRDefault="004961FC" w:rsidP="001C5A91">
            <w:pPr>
              <w:pStyle w:val="ListParagraph"/>
              <w:numPr>
                <w:ilvl w:val="0"/>
                <w:numId w:val="27"/>
              </w:numPr>
            </w:pPr>
            <w:r>
              <w:t xml:space="preserve">Use the Theory of Change as a conceptual framework for the analysis (i.e. </w:t>
            </w:r>
            <w:r w:rsidR="003C452D">
              <w:t xml:space="preserve">referring to </w:t>
            </w:r>
            <w:r w:rsidR="00066C4E">
              <w:t>the system of</w:t>
            </w:r>
            <w:r>
              <w:t xml:space="preserve"> assumptions, expectations and theories that structure</w:t>
            </w:r>
            <w:r w:rsidR="00066C4E">
              <w:t>d the evaluation)</w:t>
            </w:r>
            <w:r w:rsidR="003C452D">
              <w:t xml:space="preserve">. </w:t>
            </w:r>
          </w:p>
          <w:p w14:paraId="17670A5D" w14:textId="52CE0369" w:rsidR="00C1409E" w:rsidRPr="00DA36E3" w:rsidRDefault="00126140" w:rsidP="001C5A91">
            <w:pPr>
              <w:pStyle w:val="ListParagraph"/>
              <w:numPr>
                <w:ilvl w:val="0"/>
                <w:numId w:val="27"/>
              </w:numPr>
            </w:pPr>
            <w:r>
              <w:t xml:space="preserve">Analyse the data </w:t>
            </w:r>
            <w:r w:rsidR="00CC68B2">
              <w:t xml:space="preserve">to answer the research questions </w:t>
            </w:r>
            <w:r>
              <w:t>(</w:t>
            </w:r>
            <w:r w:rsidR="00CC68B2">
              <w:t xml:space="preserve">the analysis </w:t>
            </w:r>
            <w:r w:rsidR="00C1409E">
              <w:t>will depend on what type(s) of data has been collected: quantitative analysis usually involves looking at trends and making comparisons, search for correlation/associations in the data; qualitative analysis usually involves drawing out themes and looking for patterns</w:t>
            </w:r>
            <w:r w:rsidR="00CC68B2">
              <w:t>)</w:t>
            </w:r>
            <w:r w:rsidR="00C1409E">
              <w:t xml:space="preserve">. </w:t>
            </w:r>
          </w:p>
        </w:tc>
        <w:tc>
          <w:tcPr>
            <w:tcW w:w="4111" w:type="dxa"/>
          </w:tcPr>
          <w:p w14:paraId="2CFBFB87" w14:textId="4D0846CA" w:rsidR="00C1409E" w:rsidRDefault="00CC68B2" w:rsidP="001C5A91">
            <w:pPr>
              <w:pStyle w:val="ListParagraph"/>
              <w:numPr>
                <w:ilvl w:val="0"/>
                <w:numId w:val="28"/>
              </w:numPr>
            </w:pPr>
            <w:r>
              <w:t>There might be</w:t>
            </w:r>
            <w:r w:rsidR="00C1409E">
              <w:t xml:space="preserve"> a lot of data, so the scale of the analysis task can be a challenge, especially where there </w:t>
            </w:r>
            <w:r>
              <w:t>much</w:t>
            </w:r>
            <w:r w:rsidR="00C1409E">
              <w:t xml:space="preserve"> qualitative data.  </w:t>
            </w:r>
          </w:p>
          <w:p w14:paraId="008DBCA3" w14:textId="15D11880" w:rsidR="00C1409E" w:rsidRDefault="00C1409E" w:rsidP="001C5A91">
            <w:pPr>
              <w:pStyle w:val="ListParagraph"/>
              <w:numPr>
                <w:ilvl w:val="0"/>
                <w:numId w:val="28"/>
              </w:numPr>
            </w:pPr>
            <w:r>
              <w:t xml:space="preserve">In complex studies it can be a challenge to keep the presentation simple and understandable, whilst making sure the analysis presents the ‘whole picture’. It can be helpful to focus first on what the data reveal before moving into interpretations and judgments. </w:t>
            </w:r>
          </w:p>
          <w:p w14:paraId="670544F6" w14:textId="682480B1" w:rsidR="00C1409E" w:rsidRDefault="00C1409E" w:rsidP="00533727">
            <w:pPr>
              <w:ind w:left="171"/>
            </w:pPr>
          </w:p>
        </w:tc>
        <w:tc>
          <w:tcPr>
            <w:tcW w:w="3968" w:type="dxa"/>
          </w:tcPr>
          <w:p w14:paraId="53500D00" w14:textId="77A6C422" w:rsidR="00C1409E" w:rsidRDefault="00C1409E" w:rsidP="00C665B5">
            <w:pPr>
              <w:pStyle w:val="Body"/>
            </w:pPr>
            <w:r>
              <w:t xml:space="preserve">The NERUPI resources include guidance on analysing </w:t>
            </w:r>
            <w:hyperlink r:id="rId36" w:history="1">
              <w:r w:rsidRPr="00F564A1">
                <w:rPr>
                  <w:rStyle w:val="Hyperlink"/>
                </w:rPr>
                <w:t>qualitative data</w:t>
              </w:r>
            </w:hyperlink>
            <w:r>
              <w:t xml:space="preserve"> and undertaking </w:t>
            </w:r>
            <w:hyperlink r:id="rId37" w:history="1">
              <w:r w:rsidRPr="00147A91">
                <w:rPr>
                  <w:rStyle w:val="Hyperlink"/>
                </w:rPr>
                <w:t>quantitative analysis</w:t>
              </w:r>
            </w:hyperlink>
          </w:p>
          <w:p w14:paraId="74E90178" w14:textId="13258302" w:rsidR="00C1409E" w:rsidRDefault="00C1409E" w:rsidP="00C665B5">
            <w:pPr>
              <w:pStyle w:val="Body"/>
            </w:pPr>
            <w:r>
              <w:t xml:space="preserve">A </w:t>
            </w:r>
            <w:hyperlink r:id="rId38" w:anchor="entry:5405@1" w:history="1">
              <w:r w:rsidRPr="009A0A3C">
                <w:rPr>
                  <w:rStyle w:val="Hyperlink"/>
                </w:rPr>
                <w:t>method guide</w:t>
              </w:r>
            </w:hyperlink>
            <w:r>
              <w:t xml:space="preserve"> is available on statistical tests and pre/post analysis and benchmarking</w:t>
            </w:r>
          </w:p>
          <w:p w14:paraId="29EA4A43" w14:textId="0C61A249" w:rsidR="00C1409E" w:rsidRDefault="00C1409E" w:rsidP="00C665B5">
            <w:pPr>
              <w:pStyle w:val="Body"/>
            </w:pPr>
            <w:r>
              <w:t xml:space="preserve">Resources on </w:t>
            </w:r>
            <w:hyperlink r:id="rId39" w:history="1">
              <w:r w:rsidRPr="0086725D">
                <w:rPr>
                  <w:rStyle w:val="Hyperlink"/>
                </w:rPr>
                <w:t>triangulation</w:t>
              </w:r>
            </w:hyperlink>
            <w:r>
              <w:t xml:space="preserve"> of data as part of mixed methods research</w:t>
            </w:r>
          </w:p>
          <w:p w14:paraId="50336D87" w14:textId="77777777" w:rsidR="00C1409E" w:rsidRDefault="00C1409E" w:rsidP="00C665B5">
            <w:pPr>
              <w:pStyle w:val="Body"/>
            </w:pPr>
          </w:p>
        </w:tc>
      </w:tr>
      <w:tr w:rsidR="006B6C4C" w:rsidRPr="00C25316" w14:paraId="634CF7C4" w14:textId="77777777" w:rsidTr="000E16A3">
        <w:tc>
          <w:tcPr>
            <w:tcW w:w="3256" w:type="dxa"/>
          </w:tcPr>
          <w:p w14:paraId="120F67B9" w14:textId="0E8F0156" w:rsidR="006B6C4C" w:rsidRDefault="006B6C4C"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t xml:space="preserve">Outputs at this stage include: </w:t>
            </w:r>
          </w:p>
        </w:tc>
        <w:tc>
          <w:tcPr>
            <w:tcW w:w="12190" w:type="dxa"/>
            <w:gridSpan w:val="3"/>
          </w:tcPr>
          <w:p w14:paraId="0563DE1F" w14:textId="00D7BBD0" w:rsidR="006B6C4C" w:rsidRDefault="006B6C4C" w:rsidP="00C665B5">
            <w:pPr>
              <w:pStyle w:val="Body"/>
            </w:pPr>
            <w:r w:rsidRPr="006B6C4C">
              <w:rPr>
                <w:szCs w:val="20"/>
              </w:rPr>
              <w:t xml:space="preserve">Agreed evaluation plan, with clear roles agreed, responsibilities and timing, Ethnical approval, research protocols and tools – e.g. informed consent process and data sharing </w:t>
            </w:r>
            <w:proofErr w:type="gramStart"/>
            <w:r w:rsidRPr="006B6C4C">
              <w:rPr>
                <w:szCs w:val="20"/>
              </w:rPr>
              <w:t>protocols,  Data</w:t>
            </w:r>
            <w:proofErr w:type="gramEnd"/>
            <w:r w:rsidRPr="006B6C4C">
              <w:rPr>
                <w:szCs w:val="20"/>
              </w:rPr>
              <w:t xml:space="preserve"> collection tools (questionnaires, check lists etc), results of initial analysis</w:t>
            </w:r>
          </w:p>
        </w:tc>
      </w:tr>
      <w:tr w:rsidR="00915EEB" w:rsidRPr="00C25316" w14:paraId="50DB8752" w14:textId="77777777" w:rsidTr="004F08E6">
        <w:tc>
          <w:tcPr>
            <w:tcW w:w="15446" w:type="dxa"/>
            <w:gridSpan w:val="4"/>
          </w:tcPr>
          <w:p w14:paraId="6BFC8086" w14:textId="492085D3" w:rsidR="00915EEB" w:rsidRPr="00C25316" w:rsidRDefault="00915EEB" w:rsidP="004F08E6">
            <w:pPr>
              <w:rPr>
                <w:rFonts w:ascii="Gill Sans MT" w:hAnsi="Gill Sans MT"/>
                <w:b/>
                <w:bCs/>
                <w:color w:val="7030A0"/>
                <w:sz w:val="20"/>
                <w:szCs w:val="20"/>
              </w:rPr>
            </w:pPr>
            <w:r>
              <w:rPr>
                <w:rFonts w:ascii="Gill Sans MT" w:hAnsi="Gill Sans MT"/>
                <w:b/>
                <w:bCs/>
                <w:color w:val="007D98"/>
                <w:sz w:val="20"/>
                <w:szCs w:val="20"/>
              </w:rPr>
              <w:t>4</w:t>
            </w:r>
            <w:r w:rsidRPr="00C25316">
              <w:rPr>
                <w:rFonts w:ascii="Gill Sans MT" w:hAnsi="Gill Sans MT"/>
                <w:b/>
                <w:bCs/>
                <w:color w:val="007D98"/>
                <w:sz w:val="20"/>
                <w:szCs w:val="20"/>
              </w:rPr>
              <w:t xml:space="preserve">. </w:t>
            </w:r>
            <w:r>
              <w:rPr>
                <w:rFonts w:ascii="Gill Sans MT" w:hAnsi="Gill Sans MT"/>
                <w:b/>
                <w:bCs/>
                <w:color w:val="007D98"/>
                <w:sz w:val="20"/>
                <w:szCs w:val="20"/>
              </w:rPr>
              <w:t>Using Evaluation</w:t>
            </w:r>
          </w:p>
        </w:tc>
      </w:tr>
      <w:tr w:rsidR="009D2D3A" w:rsidRPr="00C25316" w14:paraId="0FDE0B7A" w14:textId="77777777" w:rsidTr="00715C2A">
        <w:tc>
          <w:tcPr>
            <w:tcW w:w="3256" w:type="dxa"/>
          </w:tcPr>
          <w:p w14:paraId="4AC34F89" w14:textId="18C5FA4A" w:rsidR="00A12086" w:rsidRDefault="00B16096" w:rsidP="00C1409E">
            <w:pPr>
              <w:rPr>
                <w:rFonts w:ascii="Gill Sans MT" w:hAnsi="Gill Sans MT"/>
                <w:color w:val="000000" w:themeColor="text1"/>
                <w:spacing w:val="-2"/>
                <w:sz w:val="20"/>
                <w:szCs w:val="20"/>
              </w:rPr>
            </w:pPr>
            <w:r>
              <w:rPr>
                <w:rFonts w:ascii="Gill Sans MT" w:hAnsi="Gill Sans MT"/>
                <w:color w:val="000000" w:themeColor="text1"/>
                <w:spacing w:val="-2"/>
                <w:sz w:val="20"/>
                <w:szCs w:val="20"/>
              </w:rPr>
              <w:lastRenderedPageBreak/>
              <w:t>Step 1</w:t>
            </w:r>
            <w:r w:rsidR="006A5C02">
              <w:rPr>
                <w:rFonts w:ascii="Gill Sans MT" w:hAnsi="Gill Sans MT"/>
                <w:color w:val="000000" w:themeColor="text1"/>
                <w:spacing w:val="-2"/>
                <w:sz w:val="20"/>
                <w:szCs w:val="20"/>
              </w:rPr>
              <w:t>4</w:t>
            </w:r>
            <w:r w:rsidR="00677D2A">
              <w:rPr>
                <w:rFonts w:ascii="Gill Sans MT" w:hAnsi="Gill Sans MT"/>
                <w:color w:val="000000" w:themeColor="text1"/>
                <w:spacing w:val="-2"/>
                <w:sz w:val="20"/>
                <w:szCs w:val="20"/>
              </w:rPr>
              <w:t>) Interpret the evaluation evidence</w:t>
            </w:r>
          </w:p>
          <w:p w14:paraId="65F65A79" w14:textId="77777777" w:rsidR="00677D2A" w:rsidRDefault="00677D2A" w:rsidP="00C1409E">
            <w:pPr>
              <w:rPr>
                <w:rFonts w:ascii="Gill Sans MT" w:hAnsi="Gill Sans MT"/>
                <w:color w:val="000000" w:themeColor="text1"/>
                <w:spacing w:val="-2"/>
                <w:sz w:val="20"/>
                <w:szCs w:val="20"/>
              </w:rPr>
            </w:pPr>
          </w:p>
          <w:p w14:paraId="66FA7EA1" w14:textId="390B1345" w:rsidR="00405320" w:rsidRDefault="00B53EC9" w:rsidP="00650014">
            <w:pPr>
              <w:rPr>
                <w:rFonts w:ascii="Gill Sans MT" w:hAnsi="Gill Sans MT"/>
                <w:color w:val="000000" w:themeColor="text1"/>
                <w:spacing w:val="-2"/>
                <w:sz w:val="20"/>
                <w:szCs w:val="20"/>
              </w:rPr>
            </w:pPr>
            <w:r>
              <w:rPr>
                <w:rFonts w:ascii="Gill Sans MT" w:hAnsi="Gill Sans MT"/>
                <w:spacing w:val="-2"/>
                <w:sz w:val="20"/>
              </w:rPr>
              <w:t xml:space="preserve">Rationale: </w:t>
            </w:r>
            <w:r w:rsidR="00405320" w:rsidRPr="00B53EC9">
              <w:rPr>
                <w:rFonts w:ascii="Gill Sans MT" w:hAnsi="Gill Sans MT"/>
                <w:spacing w:val="-2"/>
                <w:sz w:val="20"/>
              </w:rPr>
              <w:t>Once the data has been analysed, interpretation is needed to make sense of the patterns and to make judgements about what the evidence is saying</w:t>
            </w:r>
            <w:r w:rsidRPr="00B53EC9">
              <w:rPr>
                <w:rFonts w:ascii="Gill Sans MT" w:hAnsi="Gill Sans MT"/>
                <w:spacing w:val="-2"/>
                <w:sz w:val="20"/>
              </w:rPr>
              <w:t>, and any recommendations as a result</w:t>
            </w:r>
            <w:r w:rsidR="00405320" w:rsidRPr="00B53EC9">
              <w:rPr>
                <w:rFonts w:ascii="Gill Sans MT" w:hAnsi="Gill Sans MT"/>
                <w:spacing w:val="-2"/>
                <w:sz w:val="20"/>
              </w:rPr>
              <w:t>.</w:t>
            </w:r>
            <w:r w:rsidR="005C30AF">
              <w:rPr>
                <w:rFonts w:ascii="Gill Sans MT" w:hAnsi="Gill Sans MT"/>
                <w:spacing w:val="-2"/>
                <w:sz w:val="20"/>
              </w:rPr>
              <w:t xml:space="preserve"> The process of interpretation and making conclusions cannot be the responsibility of one person (i.e. the evaluator). </w:t>
            </w:r>
            <w:r w:rsidR="00AC5DE4" w:rsidRPr="00AC5DE4">
              <w:rPr>
                <w:rFonts w:ascii="Gill Sans MT" w:hAnsi="Gill Sans MT"/>
                <w:spacing w:val="-2"/>
                <w:sz w:val="20"/>
              </w:rPr>
              <w:t>The interpretation of the data needs to facilitate it’s use by the evaluation users, and in a way which addresses the key questions for the evaluation</w:t>
            </w:r>
          </w:p>
        </w:tc>
        <w:tc>
          <w:tcPr>
            <w:tcW w:w="4111" w:type="dxa"/>
          </w:tcPr>
          <w:p w14:paraId="2BB576FD" w14:textId="1356A7B2" w:rsidR="00B16096" w:rsidRDefault="003D4742" w:rsidP="001C5A91">
            <w:pPr>
              <w:pStyle w:val="ListParagraph"/>
              <w:numPr>
                <w:ilvl w:val="0"/>
                <w:numId w:val="29"/>
              </w:numPr>
            </w:pPr>
            <w:r>
              <w:t>Once the data has been analysed</w:t>
            </w:r>
            <w:r w:rsidR="00C611A6">
              <w:t xml:space="preserve"> it needs to be considered by the praxis team </w:t>
            </w:r>
            <w:r>
              <w:t xml:space="preserve">to make sense of the patterns and to make judgements about what the evidence is saying. Actively involving users in interpreting findings as part of the praxis team approach </w:t>
            </w:r>
            <w:r w:rsidR="00C611A6">
              <w:t xml:space="preserve">is designed to </w:t>
            </w:r>
            <w:r>
              <w:t>help to identify what is most significant and to</w:t>
            </w:r>
            <w:r w:rsidR="00C611A6">
              <w:t xml:space="preserve"> support</w:t>
            </w:r>
            <w:r>
              <w:t xml:space="preserve"> identi</w:t>
            </w:r>
            <w:r w:rsidR="00C611A6">
              <w:t xml:space="preserve">fication of the </w:t>
            </w:r>
            <w:r>
              <w:t>explanations for the findings before drawing definitive conclusions</w:t>
            </w:r>
            <w:r w:rsidR="00650014" w:rsidRPr="00B16096">
              <w:t xml:space="preserve">. </w:t>
            </w:r>
          </w:p>
          <w:p w14:paraId="22699CAE" w14:textId="636B7006" w:rsidR="00650014" w:rsidRPr="00B16096" w:rsidRDefault="00650014" w:rsidP="001C5A91">
            <w:pPr>
              <w:pStyle w:val="ListParagraph"/>
              <w:numPr>
                <w:ilvl w:val="0"/>
                <w:numId w:val="29"/>
              </w:numPr>
            </w:pPr>
            <w:r w:rsidRPr="00B16096">
              <w:t>It can be a good idea to examine the findings and implications from different perspectives.</w:t>
            </w:r>
          </w:p>
          <w:p w14:paraId="32D8D169" w14:textId="60575A1B" w:rsidR="00650014" w:rsidRDefault="00650014" w:rsidP="00B16096"/>
        </w:tc>
        <w:tc>
          <w:tcPr>
            <w:tcW w:w="4111" w:type="dxa"/>
          </w:tcPr>
          <w:p w14:paraId="2537A24E" w14:textId="77777777" w:rsidR="00612EC9" w:rsidRDefault="00612EC9" w:rsidP="001C5A91">
            <w:pPr>
              <w:pStyle w:val="ListParagraph"/>
              <w:numPr>
                <w:ilvl w:val="0"/>
                <w:numId w:val="30"/>
              </w:numPr>
            </w:pPr>
            <w:r>
              <w:t xml:space="preserve">It can take time to undertake analysis and to then reflect and learn from it. Sometimes the reasons for different findings will be unclear. Combining process evaluation with outcome evaluation can help in the interpretation of the results since the process findings are the context for the results. </w:t>
            </w:r>
          </w:p>
          <w:p w14:paraId="625A5590" w14:textId="77777777" w:rsidR="00612EC9" w:rsidRDefault="00612EC9" w:rsidP="001C5A91">
            <w:pPr>
              <w:pStyle w:val="ListParagraph"/>
              <w:numPr>
                <w:ilvl w:val="0"/>
                <w:numId w:val="30"/>
              </w:numPr>
            </w:pPr>
            <w:r>
              <w:t xml:space="preserve">It is likely that the patterns in the data will vary and there could be varying degrees of certainty in the findings (if this is the case the reporting needs to be open and explicit about strengths and uncertainties or limitations in the analysis). </w:t>
            </w:r>
          </w:p>
          <w:p w14:paraId="42E68AB4" w14:textId="5B6A0288" w:rsidR="009D2D3A" w:rsidRDefault="00307263" w:rsidP="001C5A91">
            <w:pPr>
              <w:pStyle w:val="ListParagraph"/>
              <w:numPr>
                <w:ilvl w:val="0"/>
                <w:numId w:val="30"/>
              </w:numPr>
            </w:pPr>
            <w:r>
              <w:t>The analysis might require making evaluative judgments – in which case there is a need to be clear about the values that underpin the judgments made (and to make these explicit to evaluation users).</w:t>
            </w:r>
          </w:p>
        </w:tc>
        <w:tc>
          <w:tcPr>
            <w:tcW w:w="3968" w:type="dxa"/>
          </w:tcPr>
          <w:p w14:paraId="2B4C710C" w14:textId="77777777" w:rsidR="00912A0C" w:rsidRDefault="00912A0C" w:rsidP="00912A0C">
            <w:pPr>
              <w:pStyle w:val="Body"/>
            </w:pPr>
            <w:r>
              <w:t>A method guide is available on statistical tests and pre/post analysis and benchmarking</w:t>
            </w:r>
          </w:p>
          <w:p w14:paraId="043CB9A7" w14:textId="77777777" w:rsidR="00912A0C" w:rsidRDefault="00912A0C" w:rsidP="00912A0C">
            <w:pPr>
              <w:pStyle w:val="Body"/>
            </w:pPr>
          </w:p>
          <w:p w14:paraId="2163E1E6" w14:textId="6E551954" w:rsidR="009D2D3A" w:rsidRDefault="00912A0C" w:rsidP="00912A0C">
            <w:pPr>
              <w:pStyle w:val="Body"/>
            </w:pPr>
            <w:r>
              <w:t xml:space="preserve">Plus, resources on </w:t>
            </w:r>
            <w:hyperlink r:id="rId40" w:history="1">
              <w:r w:rsidRPr="009604BC">
                <w:rPr>
                  <w:rStyle w:val="Hyperlink"/>
                </w:rPr>
                <w:t>triangulation</w:t>
              </w:r>
            </w:hyperlink>
            <w:r>
              <w:t xml:space="preserve"> of data as part of mixed methods research</w:t>
            </w:r>
          </w:p>
        </w:tc>
      </w:tr>
      <w:tr w:rsidR="00E224DC" w:rsidRPr="00C25316" w14:paraId="63645091" w14:textId="77777777" w:rsidTr="004F08E6">
        <w:tc>
          <w:tcPr>
            <w:tcW w:w="3256" w:type="dxa"/>
          </w:tcPr>
          <w:p w14:paraId="612C81D1" w14:textId="5BE9408B" w:rsidR="00E224DC" w:rsidRPr="00F2500F" w:rsidRDefault="00E224DC" w:rsidP="004F08E6">
            <w:pPr>
              <w:rPr>
                <w:rFonts w:ascii="Gill Sans MT" w:hAnsi="Gill Sans MT"/>
                <w:spacing w:val="-2"/>
                <w:sz w:val="20"/>
              </w:rPr>
            </w:pPr>
            <w:r>
              <w:rPr>
                <w:rFonts w:ascii="Gill Sans MT" w:hAnsi="Gill Sans MT"/>
                <w:spacing w:val="-2"/>
                <w:sz w:val="20"/>
              </w:rPr>
              <w:t>Step 1</w:t>
            </w:r>
            <w:r w:rsidR="006A5C02">
              <w:rPr>
                <w:rFonts w:ascii="Gill Sans MT" w:hAnsi="Gill Sans MT"/>
                <w:spacing w:val="-2"/>
                <w:sz w:val="20"/>
              </w:rPr>
              <w:t>5</w:t>
            </w:r>
            <w:r w:rsidR="00F5559D">
              <w:rPr>
                <w:rFonts w:ascii="Gill Sans MT" w:hAnsi="Gill Sans MT"/>
                <w:spacing w:val="-2"/>
                <w:sz w:val="20"/>
              </w:rPr>
              <w:t xml:space="preserve">) </w:t>
            </w:r>
            <w:r>
              <w:rPr>
                <w:rFonts w:ascii="Gill Sans MT" w:hAnsi="Gill Sans MT"/>
                <w:spacing w:val="-2"/>
                <w:sz w:val="20"/>
              </w:rPr>
              <w:t>Agree</w:t>
            </w:r>
            <w:r w:rsidRPr="00F2500F">
              <w:rPr>
                <w:rFonts w:ascii="Gill Sans MT" w:hAnsi="Gill Sans MT"/>
                <w:spacing w:val="-2"/>
                <w:sz w:val="20"/>
              </w:rPr>
              <w:t xml:space="preserve"> an evaluation output</w:t>
            </w:r>
            <w:r>
              <w:rPr>
                <w:rFonts w:ascii="Gill Sans MT" w:hAnsi="Gill Sans MT"/>
                <w:spacing w:val="-2"/>
                <w:sz w:val="20"/>
              </w:rPr>
              <w:t>(s)</w:t>
            </w:r>
          </w:p>
          <w:p w14:paraId="037D120F" w14:textId="77777777" w:rsidR="00E224DC" w:rsidRPr="00F2500F" w:rsidRDefault="00E224DC" w:rsidP="004F08E6">
            <w:pPr>
              <w:rPr>
                <w:rFonts w:ascii="Gill Sans MT" w:hAnsi="Gill Sans MT"/>
                <w:spacing w:val="-2"/>
                <w:sz w:val="20"/>
              </w:rPr>
            </w:pPr>
          </w:p>
          <w:p w14:paraId="702A88D6" w14:textId="77777777" w:rsidR="00E224DC" w:rsidRPr="00F2500F" w:rsidRDefault="00E224DC" w:rsidP="004F08E6">
            <w:pPr>
              <w:rPr>
                <w:rFonts w:ascii="Gill Sans MT" w:hAnsi="Gill Sans MT"/>
                <w:spacing w:val="-2"/>
                <w:sz w:val="20"/>
              </w:rPr>
            </w:pPr>
            <w:r w:rsidRPr="00F2500F">
              <w:rPr>
                <w:rFonts w:ascii="Gill Sans MT" w:hAnsi="Gill Sans MT"/>
                <w:spacing w:val="-2"/>
                <w:sz w:val="20"/>
              </w:rPr>
              <w:t xml:space="preserve">Rationale: The evaluation output(s) needs to be agreed with the evaluation users in order to make sure they will be used. The praxis team is likely to be the main audience in the first instance, but there may be other people that the evaluation results need to be communicated to maximise the use and influence of the evaluation. </w:t>
            </w:r>
          </w:p>
          <w:p w14:paraId="2AD06D35" w14:textId="77777777" w:rsidR="00E224DC" w:rsidRPr="00F2500F" w:rsidRDefault="00E224DC" w:rsidP="004F08E6">
            <w:pPr>
              <w:rPr>
                <w:rFonts w:ascii="Gill Sans MT" w:hAnsi="Gill Sans MT"/>
                <w:spacing w:val="-2"/>
                <w:sz w:val="20"/>
              </w:rPr>
            </w:pPr>
          </w:p>
        </w:tc>
        <w:tc>
          <w:tcPr>
            <w:tcW w:w="4111" w:type="dxa"/>
          </w:tcPr>
          <w:p w14:paraId="18FA60A6" w14:textId="77777777" w:rsidR="00E224DC" w:rsidRDefault="00E224DC" w:rsidP="001C5A91">
            <w:pPr>
              <w:pStyle w:val="ListParagraph"/>
              <w:numPr>
                <w:ilvl w:val="0"/>
                <w:numId w:val="31"/>
              </w:numPr>
            </w:pPr>
            <w:r>
              <w:t xml:space="preserve">Communicate the evidence considerately, to provide balance and make sure that comparisons are made carefully and appropriately. </w:t>
            </w:r>
          </w:p>
          <w:p w14:paraId="585A8457" w14:textId="083AD5F5" w:rsidR="00E224DC" w:rsidRDefault="00E224DC" w:rsidP="001C5A91">
            <w:pPr>
              <w:pStyle w:val="ListParagraph"/>
              <w:numPr>
                <w:ilvl w:val="0"/>
                <w:numId w:val="31"/>
              </w:numPr>
            </w:pPr>
            <w:r>
              <w:t>Mak</w:t>
            </w:r>
            <w:r w:rsidR="00F5559D">
              <w:t>e</w:t>
            </w:r>
            <w:r>
              <w:t xml:space="preserve"> sure readers understand the detail on the methods used, definitions and any technical issues are included.  </w:t>
            </w:r>
          </w:p>
          <w:p w14:paraId="2393D4C0" w14:textId="197A9E0A" w:rsidR="00E224DC" w:rsidRDefault="00E224DC" w:rsidP="001C5A91">
            <w:pPr>
              <w:pStyle w:val="ListParagraph"/>
              <w:numPr>
                <w:ilvl w:val="0"/>
                <w:numId w:val="31"/>
              </w:numPr>
            </w:pPr>
            <w:r>
              <w:t>Mak</w:t>
            </w:r>
            <w:r w:rsidR="00F5559D">
              <w:t>e</w:t>
            </w:r>
            <w:r>
              <w:t xml:space="preserve"> sure the evaluation outputs maintain the anonymity and confidentiality of the research participants and conform to reporting standards. </w:t>
            </w:r>
          </w:p>
          <w:p w14:paraId="795586BD" w14:textId="4436911D" w:rsidR="00E224DC" w:rsidRPr="00DF19A8" w:rsidRDefault="00E224DC" w:rsidP="001C5A91">
            <w:pPr>
              <w:pStyle w:val="ListParagraph"/>
              <w:numPr>
                <w:ilvl w:val="0"/>
                <w:numId w:val="31"/>
              </w:numPr>
            </w:pPr>
            <w:r>
              <w:t>If recommendations are made, mak</w:t>
            </w:r>
            <w:r w:rsidR="00F5559D">
              <w:t>e</w:t>
            </w:r>
            <w:r>
              <w:t xml:space="preserve"> sure these are directed at those who can actually action them, that they are supported by the findings and that the costs, benefits, and challenges of implementing </w:t>
            </w:r>
            <w:r>
              <w:lastRenderedPageBreak/>
              <w:t xml:space="preserve">recommendations are discussed appropriately. </w:t>
            </w:r>
          </w:p>
        </w:tc>
        <w:tc>
          <w:tcPr>
            <w:tcW w:w="4111" w:type="dxa"/>
          </w:tcPr>
          <w:p w14:paraId="0A9F0CBD" w14:textId="77777777" w:rsidR="00CC4F63" w:rsidRDefault="00CC4F63" w:rsidP="001C5A91">
            <w:pPr>
              <w:pStyle w:val="ListParagraph"/>
              <w:numPr>
                <w:ilvl w:val="0"/>
                <w:numId w:val="32"/>
              </w:numPr>
            </w:pPr>
            <w:r>
              <w:lastRenderedPageBreak/>
              <w:t xml:space="preserve">Decisions on the most appropriate output(s) can be tricky, especially where there is more than one audience, and it may be necessary to adapt the initial report for different audiences and uses. </w:t>
            </w:r>
          </w:p>
          <w:p w14:paraId="611EFB51" w14:textId="4B13E6BD" w:rsidR="00E224DC" w:rsidRDefault="00CC4F63" w:rsidP="001C5A91">
            <w:pPr>
              <w:pStyle w:val="ListParagraph"/>
              <w:numPr>
                <w:ilvl w:val="0"/>
                <w:numId w:val="32"/>
              </w:numPr>
            </w:pPr>
            <w:r>
              <w:t>Using the evaluation output to make recommendations can be problematic</w:t>
            </w:r>
            <w:r w:rsidR="00A35DE4">
              <w:t>: t</w:t>
            </w:r>
            <w:r w:rsidR="00E224DC">
              <w:t>he report should make clear the difference between findings and interpretations/</w:t>
            </w:r>
            <w:r>
              <w:t xml:space="preserve"> </w:t>
            </w:r>
            <w:r w:rsidR="00E224DC">
              <w:t>judgements about the evidence. Any conclusions drawn should be supported by the evidence.</w:t>
            </w:r>
          </w:p>
          <w:p w14:paraId="00D322CF" w14:textId="77777777" w:rsidR="00E224DC" w:rsidRDefault="00E224DC" w:rsidP="00CC4F63"/>
        </w:tc>
        <w:tc>
          <w:tcPr>
            <w:tcW w:w="3968" w:type="dxa"/>
          </w:tcPr>
          <w:p w14:paraId="1F58A923" w14:textId="71C7CC37" w:rsidR="00172CE9" w:rsidRDefault="00172CE9" w:rsidP="00172CE9">
            <w:pPr>
              <w:pStyle w:val="Body"/>
            </w:pPr>
            <w:r>
              <w:t xml:space="preserve">Suggestions are available for an evaluation </w:t>
            </w:r>
            <w:hyperlink r:id="rId41" w:history="1">
              <w:r w:rsidRPr="00581E9C">
                <w:rPr>
                  <w:rStyle w:val="Hyperlink"/>
                </w:rPr>
                <w:t>report format</w:t>
              </w:r>
            </w:hyperlink>
            <w:r>
              <w:t xml:space="preserve">. </w:t>
            </w:r>
          </w:p>
          <w:p w14:paraId="07E625FC" w14:textId="77777777" w:rsidR="00172CE9" w:rsidRDefault="00172CE9" w:rsidP="00172CE9">
            <w:pPr>
              <w:pStyle w:val="Body"/>
            </w:pPr>
          </w:p>
          <w:p w14:paraId="00840299" w14:textId="275D747D" w:rsidR="00E224DC" w:rsidRDefault="00172CE9" w:rsidP="00172CE9">
            <w:pPr>
              <w:pStyle w:val="Body"/>
            </w:pPr>
            <w:r>
              <w:t xml:space="preserve">Guidance on preparing academic articles is in development. </w:t>
            </w:r>
          </w:p>
        </w:tc>
      </w:tr>
      <w:tr w:rsidR="00B440BA" w:rsidRPr="00C25316" w14:paraId="30931F66" w14:textId="77777777" w:rsidTr="004F08E6">
        <w:tc>
          <w:tcPr>
            <w:tcW w:w="3256" w:type="dxa"/>
          </w:tcPr>
          <w:p w14:paraId="0B8A4CE3" w14:textId="7CB97DAC" w:rsidR="00B440BA" w:rsidRDefault="00F5559D" w:rsidP="004F08E6">
            <w:pPr>
              <w:pStyle w:val="Body"/>
            </w:pPr>
            <w:r>
              <w:t>Step 1</w:t>
            </w:r>
            <w:r w:rsidR="006A5C02">
              <w:t>6</w:t>
            </w:r>
            <w:r>
              <w:t xml:space="preserve">) </w:t>
            </w:r>
            <w:r w:rsidR="00B440BA">
              <w:t xml:space="preserve">Evaluation follow up with users </w:t>
            </w:r>
          </w:p>
          <w:p w14:paraId="2770D1A7" w14:textId="77777777" w:rsidR="00633835" w:rsidRDefault="00633835" w:rsidP="004F08E6">
            <w:pPr>
              <w:pStyle w:val="Body"/>
            </w:pPr>
          </w:p>
          <w:p w14:paraId="472F0F78" w14:textId="5D5A27D8" w:rsidR="00633835" w:rsidRDefault="00633835" w:rsidP="004F08E6">
            <w:pPr>
              <w:pStyle w:val="Body"/>
            </w:pPr>
            <w:r>
              <w:t xml:space="preserve">Rationale: </w:t>
            </w:r>
            <w:r w:rsidRPr="00EE38B8">
              <w:t xml:space="preserve">Usually having an evaluation report or other output is not sufficient for the evaluation results to be used. </w:t>
            </w:r>
            <w:r>
              <w:t>F</w:t>
            </w:r>
            <w:r w:rsidRPr="00EE38B8">
              <w:t xml:space="preserve">acilitation and follow-up </w:t>
            </w:r>
            <w:r>
              <w:t>(possibly internally and externally) is a</w:t>
            </w:r>
            <w:r w:rsidRPr="00EE38B8">
              <w:t xml:space="preserve"> good idea to </w:t>
            </w:r>
            <w:r>
              <w:t>support the use of the</w:t>
            </w:r>
            <w:r w:rsidRPr="00EE38B8">
              <w:t xml:space="preserve"> findings and any recommendations for action.</w:t>
            </w:r>
          </w:p>
          <w:p w14:paraId="53B44F4B" w14:textId="77777777" w:rsidR="00B440BA" w:rsidRDefault="00B440BA" w:rsidP="004F08E6">
            <w:pPr>
              <w:rPr>
                <w:rFonts w:ascii="Gill Sans MT" w:hAnsi="Gill Sans MT"/>
                <w:color w:val="000000" w:themeColor="text1"/>
                <w:spacing w:val="-2"/>
                <w:sz w:val="20"/>
                <w:szCs w:val="20"/>
              </w:rPr>
            </w:pPr>
          </w:p>
        </w:tc>
        <w:tc>
          <w:tcPr>
            <w:tcW w:w="4111" w:type="dxa"/>
          </w:tcPr>
          <w:p w14:paraId="7E866F75" w14:textId="1CEA2588" w:rsidR="003700B2" w:rsidRDefault="003700B2" w:rsidP="001C5A91">
            <w:pPr>
              <w:pStyle w:val="ListParagraph"/>
              <w:numPr>
                <w:ilvl w:val="0"/>
                <w:numId w:val="33"/>
              </w:numPr>
            </w:pPr>
            <w:r>
              <w:t xml:space="preserve">Facilitate the process of using evaluation to make strategic decisions and choices. </w:t>
            </w:r>
          </w:p>
          <w:p w14:paraId="177D84C6" w14:textId="002AE35F" w:rsidR="003700B2" w:rsidRDefault="003700B2" w:rsidP="001C5A91">
            <w:pPr>
              <w:pStyle w:val="ListParagraph"/>
              <w:numPr>
                <w:ilvl w:val="0"/>
                <w:numId w:val="33"/>
              </w:numPr>
            </w:pPr>
            <w:r>
              <w:t>Ask questions about ‘what now/next’?</w:t>
            </w:r>
            <w:r w:rsidR="00671749">
              <w:t xml:space="preserve"> </w:t>
            </w:r>
            <w:r>
              <w:t xml:space="preserve">seeing evaluation as an ongoing process of learning, rather than an end in itself (especially since findings often lead to new questions to be addressed). </w:t>
            </w:r>
          </w:p>
          <w:p w14:paraId="65191727" w14:textId="2FA6199C" w:rsidR="00D7685A" w:rsidRPr="00671749" w:rsidRDefault="00D7685A" w:rsidP="001C5A91">
            <w:pPr>
              <w:pStyle w:val="ListParagraph"/>
              <w:numPr>
                <w:ilvl w:val="0"/>
                <w:numId w:val="33"/>
              </w:numPr>
            </w:pPr>
            <w:r w:rsidRPr="002B326E">
              <w:t>Consider how learning from the evaluation will be used to further develop the programme (or more widely as part of organisational development).</w:t>
            </w:r>
          </w:p>
          <w:p w14:paraId="77FEA492" w14:textId="34A56526" w:rsidR="00B440BA" w:rsidRPr="00671749" w:rsidRDefault="00B440BA" w:rsidP="001C5A91">
            <w:pPr>
              <w:pStyle w:val="ListParagraph"/>
              <w:numPr>
                <w:ilvl w:val="0"/>
                <w:numId w:val="33"/>
              </w:numPr>
            </w:pPr>
            <w:r>
              <w:t>Tak</w:t>
            </w:r>
            <w:r w:rsidR="00657E90">
              <w:t>e</w:t>
            </w:r>
            <w:r>
              <w:t xml:space="preserve"> advantage of opportunities to reinforce the messages from the evaluation and the take up of the learning and recommendations (this could include adapting the findings to the needs of different audiences/groups if required).</w:t>
            </w:r>
          </w:p>
        </w:tc>
        <w:tc>
          <w:tcPr>
            <w:tcW w:w="4111" w:type="dxa"/>
          </w:tcPr>
          <w:p w14:paraId="3BBD6686" w14:textId="77777777" w:rsidR="00DB50A6" w:rsidRDefault="00B440BA" w:rsidP="001C5A91">
            <w:pPr>
              <w:pStyle w:val="ListParagraph"/>
              <w:numPr>
                <w:ilvl w:val="0"/>
                <w:numId w:val="34"/>
              </w:numPr>
            </w:pPr>
            <w:r>
              <w:t>It may be necessary to report negative or unexpected findings, so the evaluators need to be prepared to help users to understand and deal with negative findings and identify the implications of these for their work.</w:t>
            </w:r>
          </w:p>
          <w:p w14:paraId="7EFC72EA" w14:textId="00403EFF" w:rsidR="00B440BA" w:rsidRDefault="00B440BA" w:rsidP="001C5A91">
            <w:pPr>
              <w:pStyle w:val="ListParagraph"/>
              <w:numPr>
                <w:ilvl w:val="0"/>
                <w:numId w:val="34"/>
              </w:numPr>
            </w:pPr>
            <w:r>
              <w:t xml:space="preserve">Facilitating use of the evaluation findings and recommendations becomes challenging when the results are met with resistance. Efforts may be needed to facilitate a climate of openness and willingness to reflect and learn from so-called ‘negative’ results: every evaluation is an opportunity for learning and improving. </w:t>
            </w:r>
          </w:p>
          <w:p w14:paraId="35D18135" w14:textId="77777777" w:rsidR="00B440BA" w:rsidRDefault="00B440BA" w:rsidP="001C5A91">
            <w:pPr>
              <w:pStyle w:val="ListParagraph"/>
              <w:numPr>
                <w:ilvl w:val="0"/>
                <w:numId w:val="34"/>
              </w:numPr>
            </w:pPr>
            <w:r>
              <w:t xml:space="preserve">There is also a need to ward-off users from mis-using evaluation – for example, by ‘cherry-picking’ the results for their own ends rather than engaging with the (potential) nuance and complexity of the findings.  </w:t>
            </w:r>
          </w:p>
        </w:tc>
        <w:tc>
          <w:tcPr>
            <w:tcW w:w="3968" w:type="dxa"/>
          </w:tcPr>
          <w:p w14:paraId="41568E05" w14:textId="77777777" w:rsidR="00B440BA" w:rsidRDefault="00B440BA" w:rsidP="004F08E6">
            <w:pPr>
              <w:pStyle w:val="Body"/>
            </w:pPr>
          </w:p>
        </w:tc>
      </w:tr>
      <w:tr w:rsidR="005722D0" w:rsidRPr="00C25316" w14:paraId="57C0D6E4" w14:textId="77777777" w:rsidTr="00715C2A">
        <w:tc>
          <w:tcPr>
            <w:tcW w:w="3256" w:type="dxa"/>
          </w:tcPr>
          <w:p w14:paraId="25C80140" w14:textId="5FF60756" w:rsidR="005722D0" w:rsidRDefault="00EF6209" w:rsidP="005722D0">
            <w:pPr>
              <w:pStyle w:val="Body"/>
            </w:pPr>
            <w:r>
              <w:t>Step 1</w:t>
            </w:r>
            <w:r w:rsidR="006A5C02">
              <w:t>7</w:t>
            </w:r>
            <w:r>
              <w:t xml:space="preserve">) </w:t>
            </w:r>
            <w:r w:rsidR="005722D0">
              <w:t xml:space="preserve">Disseminate key findings and recommendations </w:t>
            </w:r>
            <w:r w:rsidR="006E127B">
              <w:t>to a wider audience (if appropriate)</w:t>
            </w:r>
          </w:p>
          <w:p w14:paraId="5A3FADAA" w14:textId="77777777" w:rsidR="00EE38B8" w:rsidRDefault="00EE38B8" w:rsidP="005722D0">
            <w:pPr>
              <w:pStyle w:val="Body"/>
            </w:pPr>
          </w:p>
          <w:p w14:paraId="251ABFA9" w14:textId="007924E4" w:rsidR="005722D0" w:rsidRPr="008D131F" w:rsidRDefault="00EE38B8" w:rsidP="008D131F">
            <w:pPr>
              <w:pStyle w:val="Body"/>
            </w:pPr>
            <w:r>
              <w:t>Rationale:</w:t>
            </w:r>
            <w:r w:rsidR="00EF6209">
              <w:t xml:space="preserve"> </w:t>
            </w:r>
            <w:r w:rsidR="00633835">
              <w:t xml:space="preserve">The main audience is the praxis team, so the first task is to disseminate internally and facilitate the understanding and use of the evaluation for decision-making on the programme being evaluated. It may be that the case that </w:t>
            </w:r>
            <w:r w:rsidR="006E127B">
              <w:t>evaluation</w:t>
            </w:r>
            <w:r w:rsidR="00633835">
              <w:t xml:space="preserve"> merit</w:t>
            </w:r>
            <w:r w:rsidR="006E127B">
              <w:t>s</w:t>
            </w:r>
            <w:r w:rsidR="00633835">
              <w:t xml:space="preserve"> wider dissemination within the organisation, or across the widening participation community more generally. </w:t>
            </w:r>
          </w:p>
        </w:tc>
        <w:tc>
          <w:tcPr>
            <w:tcW w:w="4111" w:type="dxa"/>
          </w:tcPr>
          <w:p w14:paraId="515D53F1" w14:textId="15CBB082" w:rsidR="005722D0" w:rsidRDefault="005722D0" w:rsidP="001C5A91">
            <w:pPr>
              <w:pStyle w:val="ListParagraph"/>
              <w:numPr>
                <w:ilvl w:val="0"/>
                <w:numId w:val="35"/>
              </w:numPr>
            </w:pPr>
            <w:r>
              <w:t>Decid</w:t>
            </w:r>
            <w:r w:rsidR="001537FB">
              <w:t>e</w:t>
            </w:r>
            <w:r>
              <w:t xml:space="preserve"> if the evaluation findings merit wider dissemination, and to whom. </w:t>
            </w:r>
          </w:p>
          <w:p w14:paraId="046A2C7B" w14:textId="79BC020D" w:rsidR="005722D0" w:rsidRDefault="005722D0" w:rsidP="001C5A91">
            <w:pPr>
              <w:pStyle w:val="ListParagraph"/>
              <w:numPr>
                <w:ilvl w:val="0"/>
                <w:numId w:val="35"/>
              </w:numPr>
            </w:pPr>
            <w:r>
              <w:t>Determin</w:t>
            </w:r>
            <w:r w:rsidR="001537FB">
              <w:t>e</w:t>
            </w:r>
            <w:r>
              <w:t xml:space="preserve"> what kinds of reporting (styles (formal/informal), formats (written/oral etc.)) are going to be most effective for communicating the particular type of results and in light of the needs of the audience(s) identified. </w:t>
            </w:r>
          </w:p>
          <w:p w14:paraId="78391BAF" w14:textId="79D2C0A9" w:rsidR="005722D0" w:rsidRDefault="005722D0" w:rsidP="001C5A91">
            <w:pPr>
              <w:pStyle w:val="ListParagraph"/>
              <w:numPr>
                <w:ilvl w:val="0"/>
                <w:numId w:val="35"/>
              </w:numPr>
            </w:pPr>
            <w:r>
              <w:t>Decid</w:t>
            </w:r>
            <w:r w:rsidR="001537FB">
              <w:t>e</w:t>
            </w:r>
            <w:r>
              <w:t xml:space="preserve"> on the pathways to disseminate the information (online, in-person, etc) in an appropriate format </w:t>
            </w:r>
            <w:r w:rsidR="00DE2DE1">
              <w:t>and</w:t>
            </w:r>
            <w:r>
              <w:t xml:space="preserve"> the best time </w:t>
            </w:r>
            <w:r w:rsidR="00DE2DE1">
              <w:t xml:space="preserve">to maximise </w:t>
            </w:r>
            <w:r>
              <w:t xml:space="preserve">the use of the knowledge from the evaluation (e.g. to inform decision-making). </w:t>
            </w:r>
          </w:p>
          <w:p w14:paraId="0E378E10" w14:textId="48E1A0E5" w:rsidR="005722D0" w:rsidRDefault="005722D0" w:rsidP="001537FB"/>
        </w:tc>
        <w:tc>
          <w:tcPr>
            <w:tcW w:w="4111" w:type="dxa"/>
          </w:tcPr>
          <w:p w14:paraId="5D68FF18" w14:textId="7D14281E" w:rsidR="00004972" w:rsidRDefault="00004972" w:rsidP="00DF3014">
            <w:pPr>
              <w:pStyle w:val="ListParagraph"/>
            </w:pPr>
            <w:r>
              <w:t xml:space="preserve">There are costs involved, and different formats have different pros and cons. </w:t>
            </w:r>
          </w:p>
          <w:p w14:paraId="0451C339" w14:textId="77777777" w:rsidR="005722D0" w:rsidRDefault="005722D0" w:rsidP="00DE2DE1">
            <w:pPr>
              <w:pStyle w:val="ListParagraph"/>
              <w:numPr>
                <w:ilvl w:val="0"/>
                <w:numId w:val="0"/>
              </w:numPr>
              <w:ind w:left="360"/>
            </w:pPr>
          </w:p>
        </w:tc>
        <w:tc>
          <w:tcPr>
            <w:tcW w:w="3968" w:type="dxa"/>
          </w:tcPr>
          <w:p w14:paraId="12E65945" w14:textId="77777777" w:rsidR="005722D0" w:rsidRDefault="005722D0" w:rsidP="005722D0">
            <w:pPr>
              <w:pStyle w:val="Body"/>
            </w:pPr>
            <w:r>
              <w:t>The dissemination planning template provides a format and suggestions for preparing an evaluation dissemination plan</w:t>
            </w:r>
          </w:p>
          <w:p w14:paraId="0AECDAE0" w14:textId="77777777" w:rsidR="008D131F" w:rsidRDefault="008D131F" w:rsidP="005722D0">
            <w:pPr>
              <w:pStyle w:val="Body"/>
            </w:pPr>
          </w:p>
          <w:p w14:paraId="4FBB1927" w14:textId="0E032949" w:rsidR="005722D0" w:rsidRDefault="005722D0" w:rsidP="005722D0">
            <w:pPr>
              <w:pStyle w:val="Body"/>
            </w:pPr>
            <w:r>
              <w:t xml:space="preserve">A </w:t>
            </w:r>
            <w:hyperlink r:id="rId42" w:history="1">
              <w:r w:rsidRPr="0057638F">
                <w:rPr>
                  <w:rStyle w:val="Hyperlink"/>
                </w:rPr>
                <w:t>method guide</w:t>
              </w:r>
            </w:hyperlink>
            <w:r>
              <w:t xml:space="preserve"> is </w:t>
            </w:r>
            <w:r w:rsidR="00DE2DE1">
              <w:t>in development</w:t>
            </w:r>
            <w:r>
              <w:t xml:space="preserve"> covering articles for academic publication</w:t>
            </w:r>
          </w:p>
        </w:tc>
      </w:tr>
      <w:tr w:rsidR="005722D0" w:rsidRPr="00C25316" w14:paraId="45941803" w14:textId="77777777" w:rsidTr="00715C2A">
        <w:tc>
          <w:tcPr>
            <w:tcW w:w="3256" w:type="dxa"/>
          </w:tcPr>
          <w:p w14:paraId="0369CADD" w14:textId="5A15FC72" w:rsidR="005722D0" w:rsidRDefault="008D131F" w:rsidP="005722D0">
            <w:pPr>
              <w:rPr>
                <w:rFonts w:ascii="Gill Sans MT" w:hAnsi="Gill Sans MT"/>
                <w:color w:val="000000" w:themeColor="text1"/>
                <w:spacing w:val="-2"/>
                <w:sz w:val="20"/>
                <w:szCs w:val="20"/>
              </w:rPr>
            </w:pPr>
            <w:r>
              <w:rPr>
                <w:rFonts w:ascii="Gill Sans MT" w:hAnsi="Gill Sans MT"/>
                <w:color w:val="000000" w:themeColor="text1"/>
                <w:spacing w:val="-2"/>
                <w:sz w:val="20"/>
                <w:szCs w:val="20"/>
              </w:rPr>
              <w:lastRenderedPageBreak/>
              <w:t xml:space="preserve">Step </w:t>
            </w:r>
            <w:r w:rsidR="006A5C02">
              <w:rPr>
                <w:rFonts w:ascii="Gill Sans MT" w:hAnsi="Gill Sans MT"/>
                <w:color w:val="000000" w:themeColor="text1"/>
                <w:spacing w:val="-2"/>
                <w:sz w:val="20"/>
                <w:szCs w:val="20"/>
              </w:rPr>
              <w:t>18</w:t>
            </w:r>
            <w:r>
              <w:rPr>
                <w:rFonts w:ascii="Gill Sans MT" w:hAnsi="Gill Sans MT"/>
                <w:color w:val="000000" w:themeColor="text1"/>
                <w:spacing w:val="-2"/>
                <w:sz w:val="20"/>
                <w:szCs w:val="20"/>
              </w:rPr>
              <w:t xml:space="preserve">) </w:t>
            </w:r>
            <w:r w:rsidR="005722D0">
              <w:rPr>
                <w:rFonts w:ascii="Gill Sans MT" w:hAnsi="Gill Sans MT"/>
                <w:color w:val="000000" w:themeColor="text1"/>
                <w:spacing w:val="-2"/>
                <w:sz w:val="20"/>
                <w:szCs w:val="20"/>
              </w:rPr>
              <w:t>Evaluate the evaluation</w:t>
            </w:r>
          </w:p>
          <w:p w14:paraId="78B088AC" w14:textId="77777777" w:rsidR="00934C02" w:rsidRDefault="00934C02" w:rsidP="005722D0">
            <w:pPr>
              <w:rPr>
                <w:rFonts w:ascii="Gill Sans MT" w:hAnsi="Gill Sans MT"/>
                <w:color w:val="000000" w:themeColor="text1"/>
                <w:spacing w:val="-2"/>
                <w:sz w:val="20"/>
                <w:szCs w:val="20"/>
              </w:rPr>
            </w:pPr>
          </w:p>
          <w:p w14:paraId="0FA579B2" w14:textId="4C706EE5" w:rsidR="00934C02" w:rsidRDefault="00934C02" w:rsidP="005722D0">
            <w:pPr>
              <w:rPr>
                <w:rFonts w:ascii="Gill Sans MT" w:hAnsi="Gill Sans MT"/>
                <w:color w:val="000000" w:themeColor="text1"/>
                <w:spacing w:val="-2"/>
                <w:sz w:val="20"/>
                <w:szCs w:val="20"/>
              </w:rPr>
            </w:pPr>
            <w:r>
              <w:rPr>
                <w:rFonts w:ascii="Gill Sans MT" w:hAnsi="Gill Sans MT"/>
                <w:color w:val="000000" w:themeColor="text1"/>
                <w:spacing w:val="-2"/>
                <w:sz w:val="20"/>
                <w:szCs w:val="20"/>
              </w:rPr>
              <w:t xml:space="preserve">Rationale: </w:t>
            </w:r>
            <w:r w:rsidR="00CA7820" w:rsidRPr="00934C02">
              <w:rPr>
                <w:rFonts w:ascii="Gill Sans MT" w:hAnsi="Gill Sans MT"/>
                <w:color w:val="000000" w:themeColor="text1"/>
                <w:spacing w:val="-2"/>
                <w:sz w:val="20"/>
                <w:szCs w:val="20"/>
              </w:rPr>
              <w:t>Every evaluation is an opportunity to learn lessons and improve</w:t>
            </w:r>
            <w:r w:rsidR="00CA7820">
              <w:rPr>
                <w:rFonts w:ascii="Gill Sans MT" w:hAnsi="Gill Sans MT"/>
                <w:color w:val="000000" w:themeColor="text1"/>
                <w:spacing w:val="-2"/>
                <w:sz w:val="20"/>
                <w:szCs w:val="20"/>
              </w:rPr>
              <w:t xml:space="preserve"> and t</w:t>
            </w:r>
            <w:r w:rsidRPr="00934C02">
              <w:rPr>
                <w:rFonts w:ascii="Gill Sans MT" w:hAnsi="Gill Sans MT"/>
                <w:color w:val="000000" w:themeColor="text1"/>
                <w:spacing w:val="-2"/>
                <w:sz w:val="20"/>
                <w:szCs w:val="20"/>
              </w:rPr>
              <w:t>he HE sector places particular emphasis on the use of evaluation for decision-making and informing the sector about what works in access and participation. Whilst the evaluators themselves will be in a good position to evaluat</w:t>
            </w:r>
            <w:r w:rsidR="004D7430">
              <w:rPr>
                <w:rFonts w:ascii="Gill Sans MT" w:hAnsi="Gill Sans MT"/>
                <w:color w:val="000000" w:themeColor="text1"/>
                <w:spacing w:val="-2"/>
                <w:sz w:val="20"/>
                <w:szCs w:val="20"/>
              </w:rPr>
              <w:t>e</w:t>
            </w:r>
            <w:r w:rsidRPr="00934C02">
              <w:rPr>
                <w:rFonts w:ascii="Gill Sans MT" w:hAnsi="Gill Sans MT"/>
                <w:color w:val="000000" w:themeColor="text1"/>
                <w:spacing w:val="-2"/>
                <w:sz w:val="20"/>
                <w:szCs w:val="20"/>
              </w:rPr>
              <w:t xml:space="preserve"> the evaluation, the main issue is how useful it is to the primary intended </w:t>
            </w:r>
            <w:proofErr w:type="gramStart"/>
            <w:r w:rsidRPr="00934C02">
              <w:rPr>
                <w:rFonts w:ascii="Gill Sans MT" w:hAnsi="Gill Sans MT"/>
                <w:color w:val="000000" w:themeColor="text1"/>
                <w:spacing w:val="-2"/>
                <w:sz w:val="20"/>
                <w:szCs w:val="20"/>
              </w:rPr>
              <w:t>users</w:t>
            </w:r>
            <w:proofErr w:type="gramEnd"/>
            <w:r w:rsidRPr="00934C02">
              <w:rPr>
                <w:rFonts w:ascii="Gill Sans MT" w:hAnsi="Gill Sans MT"/>
                <w:color w:val="000000" w:themeColor="text1"/>
                <w:spacing w:val="-2"/>
                <w:sz w:val="20"/>
                <w:szCs w:val="20"/>
              </w:rPr>
              <w:t xml:space="preserve"> so they need to be involved in evaluating the evaluation. It can also be a good idea to get a range of perspectives including external perspectives so that it’s not just the evaluator reflecting on their own work.</w:t>
            </w:r>
          </w:p>
        </w:tc>
        <w:tc>
          <w:tcPr>
            <w:tcW w:w="4111" w:type="dxa"/>
          </w:tcPr>
          <w:p w14:paraId="1FA42DD7" w14:textId="5B91544B" w:rsidR="005722D0" w:rsidRDefault="005722D0" w:rsidP="00DF3014">
            <w:pPr>
              <w:pStyle w:val="ListParagraph"/>
            </w:pPr>
            <w:r>
              <w:t xml:space="preserve">Review and reflect on the evaluation and uses, firstly with the evaluation stakeholders and users (and potentially more widely through external critique). This means being clear on what went well, or not, the strengths and weaknesses of the evaluation and how useful it was to development and decision-making. </w:t>
            </w:r>
          </w:p>
          <w:p w14:paraId="5A3A6DCA" w14:textId="64BFFC5C" w:rsidR="005722D0" w:rsidRDefault="005722D0" w:rsidP="00DF3014">
            <w:pPr>
              <w:pStyle w:val="ListParagraph"/>
            </w:pPr>
            <w:r>
              <w:t>Us</w:t>
            </w:r>
            <w:r w:rsidR="008D131F">
              <w:t>e</w:t>
            </w:r>
            <w:r>
              <w:t xml:space="preserve"> the learning on the evaluation to make recommendations for future evaluation practice and shar</w:t>
            </w:r>
            <w:r w:rsidR="00D00AC8">
              <w:t>e</w:t>
            </w:r>
            <w:r>
              <w:t xml:space="preserve"> this with others. This could involve taking the opportunity to design the next stage of evaluation for the same programme or making recommendations about other potential evaluation activities.</w:t>
            </w:r>
          </w:p>
        </w:tc>
        <w:tc>
          <w:tcPr>
            <w:tcW w:w="4111" w:type="dxa"/>
          </w:tcPr>
          <w:p w14:paraId="5EF706EE" w14:textId="77777777" w:rsidR="005722D0" w:rsidRDefault="005722D0" w:rsidP="00DF3014">
            <w:pPr>
              <w:pStyle w:val="ListParagraph"/>
            </w:pPr>
            <w:r>
              <w:t xml:space="preserve">This stage involves evaluators being prepared to have the effectiveness of the evaluation judged by how useful it is to the primary intended users. Colleagues can be more open to critique if the criteria for assessing the evaluation were clear from the start.  </w:t>
            </w:r>
          </w:p>
          <w:p w14:paraId="0E92CD35" w14:textId="45D1D3CB" w:rsidR="005722D0" w:rsidRDefault="005722D0" w:rsidP="00DF3014">
            <w:pPr>
              <w:pStyle w:val="ListParagraph"/>
            </w:pPr>
            <w:r>
              <w:t>The main challenge is likely to be finding the time to evaluate the evaluation, to engage with the stakeholders as part of this process and to disseminate the lessons. This can often be seen as low priority after the effort of completing the evaluation itself, but is important to maximise the learning, and it can also support professional development (which is one of the aims of the peer evaluation process).</w:t>
            </w:r>
          </w:p>
        </w:tc>
        <w:tc>
          <w:tcPr>
            <w:tcW w:w="3968" w:type="dxa"/>
          </w:tcPr>
          <w:p w14:paraId="7C2FEF88" w14:textId="77777777" w:rsidR="005722D0" w:rsidRDefault="005722D0" w:rsidP="005722D0">
            <w:pPr>
              <w:pStyle w:val="Body"/>
            </w:pPr>
            <w:r>
              <w:t xml:space="preserve">The NERUPI Peer Evaluation course is an example of evaluators critically reflecting on </w:t>
            </w:r>
            <w:proofErr w:type="spellStart"/>
            <w:r>
              <w:t>each others’</w:t>
            </w:r>
            <w:proofErr w:type="spellEnd"/>
            <w:r>
              <w:t xml:space="preserve"> evaluations and supporting each other across institutions.  </w:t>
            </w:r>
          </w:p>
          <w:p w14:paraId="6EDB62A0" w14:textId="77777777" w:rsidR="00AB401B" w:rsidRDefault="00AB401B" w:rsidP="005722D0">
            <w:pPr>
              <w:pStyle w:val="Body"/>
            </w:pPr>
          </w:p>
          <w:p w14:paraId="30D7102B" w14:textId="079F0022" w:rsidR="005722D0" w:rsidRDefault="008933F6" w:rsidP="005722D0">
            <w:pPr>
              <w:pStyle w:val="Body"/>
            </w:pPr>
            <w:r w:rsidRPr="008933F6">
              <w:t>The NERUPI working groups and events bring evaluators together to discuss planned and completed evaluation projects.</w:t>
            </w:r>
          </w:p>
        </w:tc>
      </w:tr>
      <w:tr w:rsidR="00A22397" w:rsidRPr="00C25316" w14:paraId="426F4AC2" w14:textId="77777777" w:rsidTr="006004B0">
        <w:tc>
          <w:tcPr>
            <w:tcW w:w="3256" w:type="dxa"/>
          </w:tcPr>
          <w:p w14:paraId="0B6803EE" w14:textId="1AAA9777" w:rsidR="00A22397" w:rsidRDefault="00A22397" w:rsidP="005722D0">
            <w:pPr>
              <w:rPr>
                <w:rFonts w:ascii="Gill Sans MT" w:hAnsi="Gill Sans MT"/>
                <w:color w:val="000000" w:themeColor="text1"/>
                <w:spacing w:val="-2"/>
                <w:sz w:val="20"/>
                <w:szCs w:val="20"/>
              </w:rPr>
            </w:pPr>
            <w:r>
              <w:rPr>
                <w:rFonts w:ascii="Gill Sans MT" w:hAnsi="Gill Sans MT"/>
                <w:color w:val="000000" w:themeColor="text1"/>
                <w:spacing w:val="-2"/>
                <w:sz w:val="20"/>
                <w:szCs w:val="20"/>
              </w:rPr>
              <w:t xml:space="preserve">Outputs at this stage: </w:t>
            </w:r>
          </w:p>
        </w:tc>
        <w:tc>
          <w:tcPr>
            <w:tcW w:w="12190" w:type="dxa"/>
            <w:gridSpan w:val="3"/>
          </w:tcPr>
          <w:p w14:paraId="5FAB1C73" w14:textId="17C9F2B2" w:rsidR="00A22397" w:rsidRDefault="00A22397" w:rsidP="005722D0">
            <w:pPr>
              <w:pStyle w:val="Body"/>
            </w:pPr>
            <w:r w:rsidRPr="00A22397">
              <w:rPr>
                <w:szCs w:val="20"/>
              </w:rPr>
              <w:t xml:space="preserve">Internal and external evaluation </w:t>
            </w:r>
            <w:r w:rsidR="00BA2111">
              <w:rPr>
                <w:szCs w:val="20"/>
              </w:rPr>
              <w:t xml:space="preserve">reports and other </w:t>
            </w:r>
            <w:r w:rsidRPr="00A22397">
              <w:rPr>
                <w:szCs w:val="20"/>
              </w:rPr>
              <w:t>output(s)</w:t>
            </w:r>
            <w:r w:rsidR="00D42C71">
              <w:rPr>
                <w:szCs w:val="20"/>
              </w:rPr>
              <w:t xml:space="preserve"> appropriate to the audience</w:t>
            </w:r>
            <w:r w:rsidRPr="00A22397">
              <w:rPr>
                <w:szCs w:val="20"/>
              </w:rPr>
              <w:t xml:space="preserve">, </w:t>
            </w:r>
            <w:r w:rsidR="003F5B2A">
              <w:rPr>
                <w:szCs w:val="20"/>
              </w:rPr>
              <w:t>executive summary</w:t>
            </w:r>
            <w:r w:rsidRPr="00A22397">
              <w:rPr>
                <w:szCs w:val="20"/>
              </w:rPr>
              <w:t xml:space="preserve">, </w:t>
            </w:r>
            <w:r w:rsidR="003F5B2A">
              <w:rPr>
                <w:szCs w:val="20"/>
              </w:rPr>
              <w:t xml:space="preserve">technical outputs, </w:t>
            </w:r>
            <w:r w:rsidR="008A0CD4">
              <w:rPr>
                <w:szCs w:val="20"/>
              </w:rPr>
              <w:t xml:space="preserve">data and results, policy implications document, </w:t>
            </w:r>
            <w:r w:rsidR="00280ADA">
              <w:rPr>
                <w:szCs w:val="20"/>
              </w:rPr>
              <w:t xml:space="preserve">academic outputs (e.g. academic article) and follow-up materials </w:t>
            </w:r>
            <w:r w:rsidRPr="00A22397">
              <w:rPr>
                <w:szCs w:val="20"/>
              </w:rPr>
              <w:t>e.g. recommendations for future</w:t>
            </w:r>
            <w:r w:rsidR="00280ADA">
              <w:rPr>
                <w:szCs w:val="20"/>
              </w:rPr>
              <w:t xml:space="preserve"> evaluations</w:t>
            </w:r>
            <w:r w:rsidRPr="00A22397">
              <w:rPr>
                <w:szCs w:val="20"/>
              </w:rPr>
              <w:t xml:space="preserve">, </w:t>
            </w:r>
            <w:r w:rsidR="00280ADA">
              <w:rPr>
                <w:szCs w:val="20"/>
              </w:rPr>
              <w:t>refection/</w:t>
            </w:r>
            <w:r w:rsidRPr="00A22397">
              <w:rPr>
                <w:szCs w:val="20"/>
              </w:rPr>
              <w:t>peer-evaluation</w:t>
            </w:r>
            <w:r w:rsidR="00280ADA">
              <w:rPr>
                <w:szCs w:val="20"/>
              </w:rPr>
              <w:t xml:space="preserve"> output, plus </w:t>
            </w:r>
            <w:r w:rsidR="00280ADA" w:rsidRPr="00A22397">
              <w:rPr>
                <w:szCs w:val="20"/>
              </w:rPr>
              <w:t>dissemination action plan</w:t>
            </w:r>
            <w:r w:rsidR="00280ADA">
              <w:rPr>
                <w:szCs w:val="20"/>
              </w:rPr>
              <w:t xml:space="preserve"> outlining next steps </w:t>
            </w:r>
            <w:r w:rsidR="000A4529">
              <w:rPr>
                <w:szCs w:val="20"/>
              </w:rPr>
              <w:t>to maximise the impact of the evaluation results</w:t>
            </w:r>
          </w:p>
        </w:tc>
      </w:tr>
    </w:tbl>
    <w:p w14:paraId="7566050E" w14:textId="77777777" w:rsidR="009B4B8D" w:rsidRDefault="009B4B8D"/>
    <w:sectPr w:rsidR="009B4B8D" w:rsidSect="005E2BB9">
      <w:headerReference w:type="default" r:id="rId43"/>
      <w:pgSz w:w="16838" w:h="11906" w:orient="landscape"/>
      <w:pgMar w:top="1843"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BF68" w14:textId="77777777" w:rsidR="00D82722" w:rsidRDefault="00D82722">
      <w:pPr>
        <w:spacing w:after="0" w:line="240" w:lineRule="auto"/>
      </w:pPr>
      <w:r>
        <w:separator/>
      </w:r>
    </w:p>
  </w:endnote>
  <w:endnote w:type="continuationSeparator" w:id="0">
    <w:p w14:paraId="1B63A0C5" w14:textId="77777777" w:rsidR="00D82722" w:rsidRDefault="00D8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halet-LondonNineteenSixty">
    <w:altName w:val="Calibri"/>
    <w:panose1 w:val="00000000000000000000"/>
    <w:charset w:val="00"/>
    <w:family w:val="modern"/>
    <w:notTrueType/>
    <w:pitch w:val="variable"/>
    <w:sig w:usb0="00000001" w:usb1="5000004A" w:usb2="00000000" w:usb3="00000000" w:csb0="0000009F" w:csb1="00000000"/>
  </w:font>
  <w:font w:name="Chalet-NewYorkNineteenSixty">
    <w:altName w:val="Arial"/>
    <w:panose1 w:val="00000000000000000000"/>
    <w:charset w:val="00"/>
    <w:family w:val="modern"/>
    <w:notTrueType/>
    <w:pitch w:val="variable"/>
    <w:sig w:usb0="00000001" w:usb1="50000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11885"/>
      <w:docPartObj>
        <w:docPartGallery w:val="Page Numbers (Bottom of Page)"/>
        <w:docPartUnique/>
      </w:docPartObj>
    </w:sdtPr>
    <w:sdtEndPr>
      <w:rPr>
        <w:noProof/>
      </w:rPr>
    </w:sdtEndPr>
    <w:sdtContent>
      <w:p w14:paraId="22DB1F02" w14:textId="77777777" w:rsidR="004F714B" w:rsidRDefault="004F7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415C01" w14:textId="77777777" w:rsidR="004F714B" w:rsidRDefault="004F7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BE61" w14:textId="77777777" w:rsidR="00D82722" w:rsidRDefault="00D82722">
      <w:pPr>
        <w:spacing w:after="0" w:line="240" w:lineRule="auto"/>
      </w:pPr>
      <w:r>
        <w:separator/>
      </w:r>
    </w:p>
  </w:footnote>
  <w:footnote w:type="continuationSeparator" w:id="0">
    <w:p w14:paraId="4D63E8B2" w14:textId="77777777" w:rsidR="00D82722" w:rsidRDefault="00D82722">
      <w:pPr>
        <w:spacing w:after="0" w:line="240" w:lineRule="auto"/>
      </w:pPr>
      <w:r>
        <w:continuationSeparator/>
      </w:r>
    </w:p>
  </w:footnote>
  <w:footnote w:id="1">
    <w:p w14:paraId="6767E21D" w14:textId="77777777" w:rsidR="003A2390" w:rsidRPr="00EC3A68" w:rsidRDefault="003A2390" w:rsidP="003A2390">
      <w:pPr>
        <w:shd w:val="clear" w:color="auto" w:fill="FFFFFF"/>
        <w:spacing w:after="0" w:line="240" w:lineRule="auto"/>
        <w:rPr>
          <w:rFonts w:ascii="Gill Sans MT" w:eastAsia="Times New Roman" w:hAnsi="Gill Sans MT" w:cs="Arial"/>
          <w:kern w:val="0"/>
          <w:sz w:val="20"/>
          <w:szCs w:val="20"/>
          <w:lang w:eastAsia="en-GB"/>
          <w14:ligatures w14:val="none"/>
        </w:rPr>
      </w:pPr>
      <w:r>
        <w:rPr>
          <w:rStyle w:val="FootnoteReference"/>
        </w:rPr>
        <w:footnoteRef/>
      </w:r>
      <w:r>
        <w:t xml:space="preserve"> </w:t>
      </w:r>
      <w:r w:rsidRPr="00EC3A68">
        <w:rPr>
          <w:rFonts w:ascii="Gill Sans MT" w:hAnsi="Gill Sans MT"/>
          <w:sz w:val="20"/>
          <w:szCs w:val="20"/>
        </w:rPr>
        <w:t>These will depend on the programme. For example a programme involving delivery of attainment raising workshops would need to consider the curriculum, plus pedagogic approaches that are engaging, inclusive and offer challenge, and with consideration of other desirables such as r</w:t>
      </w:r>
      <w:r w:rsidRPr="00172215">
        <w:rPr>
          <w:rFonts w:ascii="Gill Sans MT" w:hAnsi="Gill Sans MT"/>
          <w:sz w:val="20"/>
          <w:szCs w:val="20"/>
        </w:rPr>
        <w:t>eflection activities</w:t>
      </w:r>
      <w:r w:rsidRPr="00EC3A68">
        <w:rPr>
          <w:rFonts w:ascii="Gill Sans MT" w:hAnsi="Gill Sans MT"/>
          <w:sz w:val="20"/>
          <w:szCs w:val="20"/>
        </w:rPr>
        <w:t>, understanding of diversity, mutual respect amongst participants.</w:t>
      </w:r>
      <w:r w:rsidRPr="00EC3A68">
        <w:rPr>
          <w:rFonts w:ascii="Gill Sans MT" w:eastAsia="Times New Roman" w:hAnsi="Gill Sans MT" w:cs="Arial"/>
          <w:kern w:val="0"/>
          <w:sz w:val="20"/>
          <w:szCs w:val="20"/>
          <w:lang w:eastAsia="en-GB"/>
          <w14:ligatures w14:val="none"/>
        </w:rPr>
        <w:t xml:space="preserve"> The procedural issues would include procedures for working with schools, target participants, collecting data etc. </w:t>
      </w:r>
      <w:r>
        <w:rPr>
          <w:rFonts w:ascii="Gill Sans MT" w:eastAsia="Times New Roman" w:hAnsi="Gill Sans MT" w:cs="Arial"/>
          <w:kern w:val="0"/>
          <w:sz w:val="20"/>
          <w:szCs w:val="20"/>
          <w:lang w:eastAsia="en-GB"/>
          <w14:ligatures w14:val="none"/>
        </w:rPr>
        <w:t xml:space="preserve">Factors such as </w:t>
      </w:r>
      <w:r w:rsidRPr="00D0230C">
        <w:rPr>
          <w:rFonts w:ascii="Gill Sans MT" w:eastAsia="Times New Roman" w:hAnsi="Gill Sans MT" w:cs="Arial"/>
          <w:kern w:val="0"/>
          <w:sz w:val="20"/>
          <w:szCs w:val="20"/>
          <w:lang w:eastAsia="en-GB"/>
          <w14:ligatures w14:val="none"/>
        </w:rPr>
        <w:t>duration and intensity</w:t>
      </w:r>
      <w:r>
        <w:rPr>
          <w:rFonts w:ascii="Gill Sans MT" w:eastAsia="Times New Roman" w:hAnsi="Gill Sans MT" w:cs="Arial"/>
          <w:kern w:val="0"/>
          <w:sz w:val="20"/>
          <w:szCs w:val="20"/>
          <w:lang w:eastAsia="en-GB"/>
          <w14:ligatures w14:val="none"/>
        </w:rPr>
        <w:t xml:space="preserve"> would also be relevant</w:t>
      </w:r>
      <w:r w:rsidRPr="00D0230C">
        <w:rPr>
          <w:rFonts w:ascii="Gill Sans MT" w:eastAsia="Times New Roman" w:hAnsi="Gill Sans MT" w:cs="Arial"/>
          <w:kern w:val="0"/>
          <w:sz w:val="20"/>
          <w:szCs w:val="20"/>
          <w:lang w:eastAsia="en-GB"/>
          <w14:ligatures w14:val="none"/>
        </w:rPr>
        <w:t>.</w:t>
      </w:r>
    </w:p>
  </w:footnote>
  <w:footnote w:id="2">
    <w:p w14:paraId="14BA82A7" w14:textId="2C020438" w:rsidR="00C93B2F" w:rsidRPr="00C93B2F" w:rsidRDefault="00C93B2F" w:rsidP="00C93B2F">
      <w:pPr>
        <w:rPr>
          <w:rFonts w:ascii="Gill Sans MT" w:hAnsi="Gill Sans MT"/>
          <w:color w:val="000000" w:themeColor="text1"/>
          <w:spacing w:val="-2"/>
          <w:sz w:val="20"/>
          <w:szCs w:val="20"/>
        </w:rPr>
      </w:pPr>
      <w:r>
        <w:rPr>
          <w:rStyle w:val="FootnoteReference"/>
        </w:rPr>
        <w:footnoteRef/>
      </w:r>
      <w:r>
        <w:t xml:space="preserve"> </w:t>
      </w:r>
      <w:r w:rsidRPr="0069550C">
        <w:rPr>
          <w:rFonts w:ascii="Gill Sans MT" w:hAnsi="Gill Sans MT"/>
        </w:rPr>
        <w:t xml:space="preserve">PARSEC </w:t>
      </w:r>
      <w:r w:rsidRPr="0069550C">
        <w:rPr>
          <w:rFonts w:ascii="Gill Sans MT" w:hAnsi="Gill Sans MT"/>
          <w:color w:val="000000" w:themeColor="text1"/>
          <w:spacing w:val="-2"/>
          <w:sz w:val="20"/>
          <w:szCs w:val="20"/>
        </w:rPr>
        <w:t xml:space="preserve">is an acronym to put the focus on asking questions that are </w:t>
      </w:r>
      <w:proofErr w:type="gramStart"/>
      <w:r w:rsidRPr="0069550C">
        <w:rPr>
          <w:rFonts w:ascii="Gill Sans MT" w:hAnsi="Gill Sans MT"/>
          <w:color w:val="000000" w:themeColor="text1"/>
          <w:spacing w:val="-2"/>
          <w:sz w:val="20"/>
          <w:szCs w:val="20"/>
        </w:rPr>
        <w:t>Pertinent;  Answerable</w:t>
      </w:r>
      <w:proofErr w:type="gramEnd"/>
      <w:r w:rsidRPr="0069550C">
        <w:rPr>
          <w:rFonts w:ascii="Gill Sans MT" w:hAnsi="Gill Sans MT"/>
          <w:color w:val="000000" w:themeColor="text1"/>
          <w:spacing w:val="-2"/>
          <w:sz w:val="20"/>
          <w:szCs w:val="20"/>
        </w:rPr>
        <w:t>; Specific; Reasonable; Evaluative; and Complete</w:t>
      </w:r>
    </w:p>
  </w:footnote>
  <w:footnote w:id="3">
    <w:p w14:paraId="419D56F1" w14:textId="2E4AF377" w:rsidR="0069550C" w:rsidRDefault="0069550C">
      <w:pPr>
        <w:pStyle w:val="FootnoteText"/>
      </w:pPr>
      <w:r>
        <w:rPr>
          <w:rStyle w:val="FootnoteReference"/>
        </w:rPr>
        <w:footnoteRef/>
      </w:r>
      <w:r>
        <w:t xml:space="preserve"> </w:t>
      </w:r>
      <w:r w:rsidR="00C35768" w:rsidRPr="00C81A73">
        <w:rPr>
          <w:rFonts w:ascii="Gill Sans MT" w:hAnsi="Gill Sans MT" w:cs="Arial"/>
          <w:spacing w:val="-2"/>
        </w:rPr>
        <w:t xml:space="preserve">Different designs have different appeals: descriptive studies (good for describing what happened and why); studies of association (good for showing how </w:t>
      </w:r>
      <w:r w:rsidR="00C35768">
        <w:rPr>
          <w:rFonts w:ascii="Gill Sans MT" w:hAnsi="Gill Sans MT" w:cs="Arial"/>
          <w:spacing w:val="-2"/>
        </w:rPr>
        <w:t xml:space="preserve">inputs relate </w:t>
      </w:r>
      <w:r w:rsidR="00C35768" w:rsidRPr="00C81A73">
        <w:rPr>
          <w:rFonts w:ascii="Gill Sans MT" w:hAnsi="Gill Sans MT" w:cs="Arial"/>
          <w:spacing w:val="-2"/>
        </w:rPr>
        <w:t xml:space="preserve">to outcomes); or experimental designs (good for attributing impact). </w:t>
      </w:r>
      <w:r w:rsidRPr="0069550C">
        <w:rPr>
          <w:rFonts w:ascii="Gill Sans MT" w:hAnsi="Gill Sans MT"/>
        </w:rPr>
        <w:t>One of the key current debates is that around experimental versus non-experimental designs and internal versus external validity of the results. Ultimately the design should meet the needs of the evaluation users (e.g. are they looking to make generalisations or seeking context- specific conclusions?).</w:t>
      </w:r>
    </w:p>
  </w:footnote>
  <w:footnote w:id="4">
    <w:p w14:paraId="1DE8711A" w14:textId="1629BBF5" w:rsidR="00046399" w:rsidRDefault="00046399">
      <w:pPr>
        <w:pStyle w:val="FootnoteText"/>
      </w:pPr>
      <w:r>
        <w:rPr>
          <w:rStyle w:val="FootnoteReference"/>
        </w:rPr>
        <w:footnoteRef/>
      </w:r>
      <w:r>
        <w:t xml:space="preserve"> </w:t>
      </w:r>
      <w:r w:rsidRPr="00046399">
        <w:rPr>
          <w:rFonts w:ascii="Gill Sans MT" w:hAnsi="Gill Sans MT"/>
        </w:rPr>
        <w:t xml:space="preserve">The link between the outputs (project deliverables) and the purpose of the intervention (the beneficial change from the project) is critical, and this link must be specific, </w:t>
      </w:r>
      <w:proofErr w:type="gramStart"/>
      <w:r w:rsidRPr="00046399">
        <w:rPr>
          <w:rFonts w:ascii="Gill Sans MT" w:hAnsi="Gill Sans MT"/>
        </w:rPr>
        <w:t>realistic</w:t>
      </w:r>
      <w:proofErr w:type="gramEnd"/>
      <w:r w:rsidRPr="00046399">
        <w:rPr>
          <w:rFonts w:ascii="Gill Sans MT" w:hAnsi="Gill Sans MT"/>
        </w:rPr>
        <w:t xml:space="preserve"> and plausible. It’s helpful to revisit the ToC before finalising it to make sure that the purpose and the outputs of the programme will meet the needs of the situation/target groups, that the overall logical pathway is specified, and the goals are clear and measurable).</w:t>
      </w:r>
    </w:p>
  </w:footnote>
  <w:footnote w:id="5">
    <w:p w14:paraId="1AE8020F" w14:textId="11F0847D" w:rsidR="006B58F7" w:rsidRDefault="006B58F7">
      <w:pPr>
        <w:pStyle w:val="FootnoteText"/>
      </w:pPr>
      <w:r>
        <w:rPr>
          <w:rStyle w:val="FootnoteReference"/>
        </w:rPr>
        <w:footnoteRef/>
      </w:r>
      <w:r>
        <w:t xml:space="preserve"> </w:t>
      </w:r>
      <w:r w:rsidR="00F55E74" w:rsidRPr="00F55E74">
        <w:rPr>
          <w:rFonts w:ascii="Gill Sans MT" w:hAnsi="Gill Sans MT"/>
        </w:rPr>
        <w:t>Potential risks to the success of the evaluation include, for example, issues of data quality, difficulties in implementing certain procedures, engagement issues</w:t>
      </w:r>
      <w:r w:rsidR="00F55E74">
        <w:rPr>
          <w:rFonts w:ascii="Gill Sans MT" w:hAnsi="Gill Sans MT"/>
        </w:rPr>
        <w:t xml:space="preserve">, staff/expertise </w:t>
      </w:r>
      <w:proofErr w:type="gramStart"/>
      <w:r w:rsidR="00F55E74">
        <w:rPr>
          <w:rFonts w:ascii="Gill Sans MT" w:hAnsi="Gill Sans MT"/>
        </w:rPr>
        <w:t xml:space="preserve">bottlenecks, </w:t>
      </w:r>
      <w:r w:rsidR="00F55E74" w:rsidRPr="00F55E74">
        <w:rPr>
          <w:rFonts w:ascii="Gill Sans MT" w:hAnsi="Gill Sans MT"/>
        </w:rPr>
        <w:t xml:space="preserve"> xxx</w:t>
      </w:r>
      <w:proofErr w:type="gramEnd"/>
    </w:p>
  </w:footnote>
  <w:footnote w:id="6">
    <w:p w14:paraId="3A85C69B" w14:textId="22CEF372" w:rsidR="00A54C82" w:rsidRDefault="00A54C82">
      <w:pPr>
        <w:pStyle w:val="FootnoteText"/>
      </w:pPr>
      <w:r>
        <w:rPr>
          <w:rStyle w:val="FootnoteReference"/>
        </w:rPr>
        <w:footnoteRef/>
      </w:r>
      <w:r>
        <w:t xml:space="preserve"> </w:t>
      </w:r>
      <w:r w:rsidRPr="00A54C82">
        <w:rPr>
          <w:rFonts w:ascii="Gill Sans MT" w:hAnsi="Gill Sans MT"/>
        </w:rPr>
        <w:t>Evaluation methods that involved adults, and fully inform the participants what the study is about and any risks, obtain and record consent to participate, and deal with participants’ information anonymously tend to be low risk in terms of ethics. Studies involving children and young people, seek to track or record a large amount of data from a large number of people, are potentially higher risk. However, all evaluation needs to be designed with ethical considerations in mind, regardless of whether or not it is scrutinised by a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D769" w14:textId="40FAD662" w:rsidR="00535336" w:rsidRPr="002F2D95" w:rsidRDefault="000C129F" w:rsidP="00EB5BE7">
    <w:pPr>
      <w:pStyle w:val="Header"/>
      <w:rPr>
        <w:b/>
        <w:bCs/>
        <w:color w:val="7030A0"/>
        <w:sz w:val="28"/>
        <w:szCs w:val="28"/>
      </w:rPr>
    </w:pPr>
    <w:r w:rsidRPr="005E2BB9">
      <w:rPr>
        <w:b/>
        <w:bCs/>
        <w:noProof/>
        <w:color w:val="7030A0"/>
        <w:sz w:val="32"/>
        <w:szCs w:val="32"/>
      </w:rPr>
      <mc:AlternateContent>
        <mc:Choice Requires="wps">
          <w:drawing>
            <wp:anchor distT="0" distB="0" distL="114300" distR="114300" simplePos="0" relativeHeight="251665408" behindDoc="0" locked="0" layoutInCell="1" allowOverlap="1" wp14:anchorId="58138590" wp14:editId="22E87AF1">
              <wp:simplePos x="0" y="0"/>
              <wp:positionH relativeFrom="column">
                <wp:posOffset>-13335</wp:posOffset>
              </wp:positionH>
              <wp:positionV relativeFrom="paragraph">
                <wp:posOffset>342052</wp:posOffset>
              </wp:positionV>
              <wp:extent cx="6186008" cy="0"/>
              <wp:effectExtent l="0" t="0" r="0" b="0"/>
              <wp:wrapNone/>
              <wp:docPr id="5" name="Straight Connector 4">
                <a:extLst xmlns:a="http://schemas.openxmlformats.org/drawingml/2006/main">
                  <a:ext uri="{FF2B5EF4-FFF2-40B4-BE49-F238E27FC236}">
                    <a16:creationId xmlns:a16="http://schemas.microsoft.com/office/drawing/2014/main" id="{7DAB5940-0CFF-0A6C-B150-75A496A82359}"/>
                  </a:ext>
                </a:extLst>
              </wp:docPr>
              <wp:cNvGraphicFramePr/>
              <a:graphic xmlns:a="http://schemas.openxmlformats.org/drawingml/2006/main">
                <a:graphicData uri="http://schemas.microsoft.com/office/word/2010/wordprocessingShape">
                  <wps:wsp>
                    <wps:cNvCnPr/>
                    <wps:spPr>
                      <a:xfrm>
                        <a:off x="0" y="0"/>
                        <a:ext cx="6186008" cy="0"/>
                      </a:xfrm>
                      <a:prstGeom prst="line">
                        <a:avLst/>
                      </a:prstGeom>
                      <a:ln>
                        <a:solidFill>
                          <a:srgbClr val="007D9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5429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6.95pt" to="486.0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" strokecolor="#007d98" strokeweight=".5pt">
              <v:stroke joinstyle="miter"/>
            </v:line>
          </w:pict>
        </mc:Fallback>
      </mc:AlternateContent>
    </w:r>
    <w:r w:rsidR="00EB5BE7" w:rsidRPr="002F2D95">
      <w:rPr>
        <w:rFonts w:ascii="Gill Sans MT" w:hAnsi="Gill Sans MT"/>
        <w:b/>
        <w:bCs/>
        <w:noProof/>
        <w:color w:val="7030A0"/>
        <w:sz w:val="32"/>
        <w:szCs w:val="32"/>
        <w:lang w:val="en-US"/>
      </w:rPr>
      <w:drawing>
        <wp:anchor distT="0" distB="0" distL="114300" distR="114300" simplePos="0" relativeHeight="251657216" behindDoc="1" locked="0" layoutInCell="1" allowOverlap="1" wp14:anchorId="59679EB1" wp14:editId="4EC37FBC">
          <wp:simplePos x="0" y="0"/>
          <wp:positionH relativeFrom="column">
            <wp:posOffset>32385</wp:posOffset>
          </wp:positionH>
          <wp:positionV relativeFrom="page">
            <wp:posOffset>337185</wp:posOffset>
          </wp:positionV>
          <wp:extent cx="1260000" cy="366271"/>
          <wp:effectExtent l="0" t="0" r="0" b="0"/>
          <wp:wrapNone/>
          <wp:docPr id="1391168245"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0000" cy="366271"/>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0727" w14:textId="77777777" w:rsidR="00077986" w:rsidRPr="002F2D95" w:rsidRDefault="00077986" w:rsidP="00EB5BE7">
    <w:pPr>
      <w:pStyle w:val="Header"/>
      <w:rPr>
        <w:b/>
        <w:bCs/>
        <w:color w:val="7030A0"/>
        <w:sz w:val="28"/>
        <w:szCs w:val="28"/>
      </w:rPr>
    </w:pPr>
    <w:r w:rsidRPr="005E2BB9">
      <w:rPr>
        <w:b/>
        <w:bCs/>
        <w:noProof/>
        <w:color w:val="7030A0"/>
        <w:sz w:val="32"/>
        <w:szCs w:val="32"/>
      </w:rPr>
      <mc:AlternateContent>
        <mc:Choice Requires="wps">
          <w:drawing>
            <wp:anchor distT="0" distB="0" distL="114300" distR="114300" simplePos="0" relativeHeight="251668480" behindDoc="0" locked="0" layoutInCell="1" allowOverlap="1" wp14:anchorId="72892BD8" wp14:editId="4AF1F3FC">
              <wp:simplePos x="0" y="0"/>
              <wp:positionH relativeFrom="column">
                <wp:posOffset>-10212</wp:posOffset>
              </wp:positionH>
              <wp:positionV relativeFrom="paragraph">
                <wp:posOffset>342272</wp:posOffset>
              </wp:positionV>
              <wp:extent cx="9172280" cy="0"/>
              <wp:effectExtent l="0" t="0" r="0" b="0"/>
              <wp:wrapNone/>
              <wp:docPr id="217669808" name="Straight Connector 4"/>
              <wp:cNvGraphicFramePr xmlns:a="http://schemas.openxmlformats.org/drawingml/2006/main"/>
              <a:graphic xmlns:a="http://schemas.openxmlformats.org/drawingml/2006/main">
                <a:graphicData uri="http://schemas.microsoft.com/office/word/2010/wordprocessingShape">
                  <wps:wsp>
                    <wps:cNvCnPr/>
                    <wps:spPr>
                      <a:xfrm>
                        <a:off x="0" y="0"/>
                        <a:ext cx="9172280" cy="0"/>
                      </a:xfrm>
                      <a:prstGeom prst="line">
                        <a:avLst/>
                      </a:prstGeom>
                      <a:ln>
                        <a:solidFill>
                          <a:srgbClr val="007D9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0B0EB"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6.95pt" to="721.4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" strokecolor="#007d98" strokeweight=".5pt">
              <v:stroke joinstyle="miter"/>
            </v:line>
          </w:pict>
        </mc:Fallback>
      </mc:AlternateContent>
    </w:r>
    <w:r w:rsidRPr="002F2D95">
      <w:rPr>
        <w:rFonts w:ascii="Gill Sans MT" w:hAnsi="Gill Sans MT"/>
        <w:b/>
        <w:bCs/>
        <w:noProof/>
        <w:color w:val="7030A0"/>
        <w:sz w:val="32"/>
        <w:szCs w:val="32"/>
        <w:lang w:val="en-US"/>
      </w:rPr>
      <w:drawing>
        <wp:anchor distT="0" distB="0" distL="114300" distR="114300" simplePos="0" relativeHeight="251667456" behindDoc="1" locked="0" layoutInCell="1" allowOverlap="1" wp14:anchorId="7F21348E" wp14:editId="37EA1E14">
          <wp:simplePos x="0" y="0"/>
          <wp:positionH relativeFrom="column">
            <wp:posOffset>32385</wp:posOffset>
          </wp:positionH>
          <wp:positionV relativeFrom="page">
            <wp:posOffset>337185</wp:posOffset>
          </wp:positionV>
          <wp:extent cx="1260000" cy="366271"/>
          <wp:effectExtent l="0" t="0" r="0" b="0"/>
          <wp:wrapNone/>
          <wp:docPr id="1125104367"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0000" cy="366271"/>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F5C1" w14:textId="77777777" w:rsidR="00EB5BE7" w:rsidRPr="002F2D95" w:rsidRDefault="00EB5BE7" w:rsidP="00EB5BE7">
    <w:pPr>
      <w:pStyle w:val="Header"/>
      <w:rPr>
        <w:b/>
        <w:bCs/>
        <w:color w:val="7030A0"/>
        <w:sz w:val="28"/>
        <w:szCs w:val="28"/>
      </w:rPr>
    </w:pPr>
    <w:r w:rsidRPr="005E2BB9">
      <w:rPr>
        <w:b/>
        <w:bCs/>
        <w:noProof/>
        <w:color w:val="7030A0"/>
        <w:sz w:val="32"/>
        <w:szCs w:val="32"/>
      </w:rPr>
      <mc:AlternateContent>
        <mc:Choice Requires="wps">
          <w:drawing>
            <wp:anchor distT="0" distB="0" distL="114300" distR="114300" simplePos="0" relativeHeight="251664384" behindDoc="0" locked="0" layoutInCell="1" allowOverlap="1" wp14:anchorId="4DE6A742" wp14:editId="24AB6705">
              <wp:simplePos x="0" y="0"/>
              <wp:positionH relativeFrom="column">
                <wp:posOffset>3975</wp:posOffset>
              </wp:positionH>
              <wp:positionV relativeFrom="paragraph">
                <wp:posOffset>599992</wp:posOffset>
              </wp:positionV>
              <wp:extent cx="9748299" cy="0"/>
              <wp:effectExtent l="0" t="0" r="0" b="0"/>
              <wp:wrapNone/>
              <wp:docPr id="1708132232" name="Straight Connector 4"/>
              <wp:cNvGraphicFramePr/>
              <a:graphic xmlns:a="http://schemas.openxmlformats.org/drawingml/2006/main">
                <a:graphicData uri="http://schemas.microsoft.com/office/word/2010/wordprocessingShape">
                  <wps:wsp>
                    <wps:cNvCnPr/>
                    <wps:spPr>
                      <a:xfrm>
                        <a:off x="0" y="0"/>
                        <a:ext cx="9748299" cy="0"/>
                      </a:xfrm>
                      <a:prstGeom prst="line">
                        <a:avLst/>
                      </a:prstGeom>
                      <a:ln>
                        <a:solidFill>
                          <a:srgbClr val="007D9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BC16C6"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7.25pt" to="767.9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" strokecolor="#007d98" strokeweight=".5pt">
              <v:stroke joinstyle="miter"/>
            </v:line>
          </w:pict>
        </mc:Fallback>
      </mc:AlternateContent>
    </w:r>
    <w:r w:rsidRPr="002F2D95">
      <w:rPr>
        <w:rFonts w:ascii="Gill Sans MT" w:hAnsi="Gill Sans MT"/>
        <w:b/>
        <w:bCs/>
        <w:noProof/>
        <w:color w:val="7030A0"/>
        <w:sz w:val="32"/>
        <w:szCs w:val="32"/>
        <w:lang w:val="en-US"/>
      </w:rPr>
      <w:drawing>
        <wp:anchor distT="0" distB="0" distL="114300" distR="114300" simplePos="0" relativeHeight="251663360" behindDoc="1" locked="0" layoutInCell="1" allowOverlap="1" wp14:anchorId="5E9BEEB3" wp14:editId="1F213899">
          <wp:simplePos x="0" y="0"/>
          <wp:positionH relativeFrom="column">
            <wp:posOffset>0</wp:posOffset>
          </wp:positionH>
          <wp:positionV relativeFrom="page">
            <wp:posOffset>235889</wp:posOffset>
          </wp:positionV>
          <wp:extent cx="2235200" cy="649605"/>
          <wp:effectExtent l="0" t="0" r="0" b="0"/>
          <wp:wrapNone/>
          <wp:docPr id="695566296"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5200" cy="6496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F2F"/>
    <w:multiLevelType w:val="hybridMultilevel"/>
    <w:tmpl w:val="D6028A2A"/>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812CBC"/>
    <w:multiLevelType w:val="hybridMultilevel"/>
    <w:tmpl w:val="308E40A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7E050B"/>
    <w:multiLevelType w:val="hybridMultilevel"/>
    <w:tmpl w:val="DDE88E4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63544B"/>
    <w:multiLevelType w:val="hybridMultilevel"/>
    <w:tmpl w:val="C12068DE"/>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584A2D"/>
    <w:multiLevelType w:val="hybridMultilevel"/>
    <w:tmpl w:val="91862C7E"/>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5B185C"/>
    <w:multiLevelType w:val="hybridMultilevel"/>
    <w:tmpl w:val="AE7A01AE"/>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6515D02"/>
    <w:multiLevelType w:val="hybridMultilevel"/>
    <w:tmpl w:val="F8F09A1E"/>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080E61"/>
    <w:multiLevelType w:val="hybridMultilevel"/>
    <w:tmpl w:val="0044B18E"/>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C0358A7"/>
    <w:multiLevelType w:val="hybridMultilevel"/>
    <w:tmpl w:val="03FAE874"/>
    <w:lvl w:ilvl="0" w:tplc="6F3A91CC">
      <w:start w:val="1"/>
      <w:numFmt w:val="bullet"/>
      <w:pStyle w:val="ListParagraph"/>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241C45"/>
    <w:multiLevelType w:val="hybridMultilevel"/>
    <w:tmpl w:val="40F66E66"/>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8341F7"/>
    <w:multiLevelType w:val="hybridMultilevel"/>
    <w:tmpl w:val="66F67DC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2F82202"/>
    <w:multiLevelType w:val="hybridMultilevel"/>
    <w:tmpl w:val="9F7E26C6"/>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3A31EF0"/>
    <w:multiLevelType w:val="hybridMultilevel"/>
    <w:tmpl w:val="59580B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DE5C9A"/>
    <w:multiLevelType w:val="hybridMultilevel"/>
    <w:tmpl w:val="1BCCA1B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7015C9C"/>
    <w:multiLevelType w:val="hybridMultilevel"/>
    <w:tmpl w:val="5F5A7AF8"/>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6219A5"/>
    <w:multiLevelType w:val="hybridMultilevel"/>
    <w:tmpl w:val="86CA6CC6"/>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93956EB"/>
    <w:multiLevelType w:val="hybridMultilevel"/>
    <w:tmpl w:val="B7C45DC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CDD7BE3"/>
    <w:multiLevelType w:val="hybridMultilevel"/>
    <w:tmpl w:val="A53ED640"/>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13C43D1"/>
    <w:multiLevelType w:val="hybridMultilevel"/>
    <w:tmpl w:val="48D236E2"/>
    <w:lvl w:ilvl="0" w:tplc="C7EE6D38">
      <w:start w:val="1"/>
      <w:numFmt w:val="lowerRoman"/>
      <w:pStyle w:val="Tasksetc"/>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59A48A2"/>
    <w:multiLevelType w:val="hybridMultilevel"/>
    <w:tmpl w:val="28C68026"/>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80D3F95"/>
    <w:multiLevelType w:val="hybridMultilevel"/>
    <w:tmpl w:val="0232A5FA"/>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EC20898"/>
    <w:multiLevelType w:val="hybridMultilevel"/>
    <w:tmpl w:val="9EE8A736"/>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F614438"/>
    <w:multiLevelType w:val="hybridMultilevel"/>
    <w:tmpl w:val="E88CCC3E"/>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FBD1629"/>
    <w:multiLevelType w:val="hybridMultilevel"/>
    <w:tmpl w:val="DD161B08"/>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0BD6AE2"/>
    <w:multiLevelType w:val="multilevel"/>
    <w:tmpl w:val="587C18B8"/>
    <w:lvl w:ilvl="0">
      <w:start w:val="1"/>
      <w:numFmt w:val="bullet"/>
      <w:pStyle w:val="ListBullet"/>
      <w:lvlText w:val=""/>
      <w:lvlJc w:val="left"/>
      <w:pPr>
        <w:ind w:left="720" w:hanging="360"/>
      </w:pPr>
      <w:rPr>
        <w:rFonts w:ascii="Symbol" w:hAnsi="Symbol" w:hint="default"/>
        <w:color w:val="000000" w:themeColor="text1"/>
        <w:sz w:val="16"/>
      </w:rPr>
    </w:lvl>
    <w:lvl w:ilvl="1">
      <w:start w:val="1"/>
      <w:numFmt w:val="bullet"/>
      <w:lvlText w:val="–"/>
      <w:lvlJc w:val="left"/>
      <w:pPr>
        <w:tabs>
          <w:tab w:val="num" w:pos="1040"/>
        </w:tabs>
        <w:ind w:left="1040" w:hanging="340"/>
      </w:pPr>
      <w:rPr>
        <w:rFonts w:ascii="Chalet-LondonNineteenSixty" w:hAnsi="Chalet-LondonNineteenSixty" w:hint="default"/>
        <w:color w:val="000000" w:themeColor="text1"/>
      </w:rPr>
    </w:lvl>
    <w:lvl w:ilvl="2">
      <w:start w:val="1"/>
      <w:numFmt w:val="bullet"/>
      <w:lvlText w:val="+"/>
      <w:lvlJc w:val="left"/>
      <w:pPr>
        <w:tabs>
          <w:tab w:val="num" w:pos="1381"/>
        </w:tabs>
        <w:ind w:left="1381" w:hanging="341"/>
      </w:pPr>
      <w:rPr>
        <w:rFonts w:ascii="Chalet-LondonNineteenSixty" w:hAnsi="Chalet-LondonNineteenSixty" w:hint="default"/>
        <w:color w:val="E7E6E6" w:themeColor="background2"/>
        <w:sz w:val="32"/>
      </w:rPr>
    </w:lvl>
    <w:lvl w:ilvl="3">
      <w:start w:val="1"/>
      <w:numFmt w:val="bullet"/>
      <w:lvlText w:val="–"/>
      <w:lvlJc w:val="left"/>
      <w:pPr>
        <w:tabs>
          <w:tab w:val="num" w:pos="1720"/>
        </w:tabs>
        <w:ind w:left="1720" w:hanging="340"/>
      </w:pPr>
      <w:rPr>
        <w:rFonts w:ascii="Chalet-LondonNineteenSixty" w:hAnsi="Chalet-LondonNineteenSixty" w:hint="default"/>
        <w:color w:val="000000" w:themeColor="text1"/>
      </w:rPr>
    </w:lvl>
    <w:lvl w:ilvl="4">
      <w:start w:val="1"/>
      <w:numFmt w:val="bullet"/>
      <w:lvlText w:val="+"/>
      <w:lvlJc w:val="left"/>
      <w:pPr>
        <w:tabs>
          <w:tab w:val="num" w:pos="2060"/>
        </w:tabs>
        <w:ind w:left="2060" w:hanging="340"/>
      </w:pPr>
      <w:rPr>
        <w:rFonts w:ascii="Chalet-LondonNineteenSixty" w:hAnsi="Chalet-LondonNineteenSixty" w:hint="default"/>
        <w:color w:val="E7E6E6" w:themeColor="background2"/>
        <w:sz w:val="32"/>
      </w:rPr>
    </w:lvl>
    <w:lvl w:ilvl="5">
      <w:start w:val="1"/>
      <w:numFmt w:val="none"/>
      <w:lvlText w:val=""/>
      <w:lvlJc w:val="left"/>
      <w:pPr>
        <w:tabs>
          <w:tab w:val="num" w:pos="2400"/>
        </w:tabs>
        <w:ind w:left="2400" w:hanging="340"/>
      </w:pPr>
      <w:rPr>
        <w:rFonts w:hint="default"/>
      </w:rPr>
    </w:lvl>
    <w:lvl w:ilvl="6">
      <w:start w:val="1"/>
      <w:numFmt w:val="none"/>
      <w:lvlText w:val=""/>
      <w:lvlJc w:val="left"/>
      <w:pPr>
        <w:tabs>
          <w:tab w:val="num" w:pos="2740"/>
        </w:tabs>
        <w:ind w:left="2740" w:hanging="340"/>
      </w:pPr>
      <w:rPr>
        <w:rFonts w:hint="default"/>
      </w:rPr>
    </w:lvl>
    <w:lvl w:ilvl="7">
      <w:start w:val="1"/>
      <w:numFmt w:val="none"/>
      <w:lvlText w:val=""/>
      <w:lvlJc w:val="left"/>
      <w:pPr>
        <w:tabs>
          <w:tab w:val="num" w:pos="3080"/>
        </w:tabs>
        <w:ind w:left="3080" w:hanging="340"/>
      </w:pPr>
      <w:rPr>
        <w:rFonts w:hint="default"/>
      </w:rPr>
    </w:lvl>
    <w:lvl w:ilvl="8">
      <w:start w:val="1"/>
      <w:numFmt w:val="none"/>
      <w:lvlText w:val=""/>
      <w:lvlJc w:val="left"/>
      <w:pPr>
        <w:tabs>
          <w:tab w:val="num" w:pos="3420"/>
        </w:tabs>
        <w:ind w:left="3420" w:hanging="340"/>
      </w:pPr>
      <w:rPr>
        <w:rFonts w:hint="default"/>
      </w:rPr>
    </w:lvl>
  </w:abstractNum>
  <w:abstractNum w:abstractNumId="25" w15:restartNumberingAfterBreak="0">
    <w:nsid w:val="651F25B4"/>
    <w:multiLevelType w:val="hybridMultilevel"/>
    <w:tmpl w:val="43C09A12"/>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86832E5"/>
    <w:multiLevelType w:val="hybridMultilevel"/>
    <w:tmpl w:val="CEECF1F0"/>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9F76CC"/>
    <w:multiLevelType w:val="hybridMultilevel"/>
    <w:tmpl w:val="8F7864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67356F"/>
    <w:multiLevelType w:val="hybridMultilevel"/>
    <w:tmpl w:val="95AC9624"/>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C9C73FB"/>
    <w:multiLevelType w:val="hybridMultilevel"/>
    <w:tmpl w:val="F322E7A6"/>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D0B1804"/>
    <w:multiLevelType w:val="hybridMultilevel"/>
    <w:tmpl w:val="1A56D4D6"/>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06111F3"/>
    <w:multiLevelType w:val="hybridMultilevel"/>
    <w:tmpl w:val="AB7430D6"/>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3420DA7"/>
    <w:multiLevelType w:val="hybridMultilevel"/>
    <w:tmpl w:val="C4522E48"/>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73047D8"/>
    <w:multiLevelType w:val="hybridMultilevel"/>
    <w:tmpl w:val="CE24F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B3648A"/>
    <w:multiLevelType w:val="hybridMultilevel"/>
    <w:tmpl w:val="3338417E"/>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8465B25"/>
    <w:multiLevelType w:val="hybridMultilevel"/>
    <w:tmpl w:val="1450B92E"/>
    <w:lvl w:ilvl="0" w:tplc="87A0970A">
      <w:start w:val="1"/>
      <w:numFmt w:val="lowerRoman"/>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2206CE"/>
    <w:multiLevelType w:val="multilevel"/>
    <w:tmpl w:val="91CA83B4"/>
    <w:lvl w:ilvl="0">
      <w:start w:val="1"/>
      <w:numFmt w:val="decimal"/>
      <w:pStyle w:val="Heading1"/>
      <w:lvlText w:val="%1."/>
      <w:lvlJc w:val="left"/>
      <w:pPr>
        <w:tabs>
          <w:tab w:val="num" w:pos="680"/>
        </w:tabs>
        <w:ind w:left="680" w:hanging="680"/>
      </w:pPr>
      <w:rPr>
        <w:rFonts w:ascii="Chalet-NewYorkNineteenSixty" w:hAnsi="Chalet-NewYorkNineteenSixty" w:hint="default"/>
        <w:color w:val="E7E6E6" w:themeColor="background2"/>
        <w:sz w:val="48"/>
      </w:rPr>
    </w:lvl>
    <w:lvl w:ilvl="1">
      <w:start w:val="1"/>
      <w:numFmt w:val="decimal"/>
      <w:pStyle w:val="Heading2"/>
      <w:lvlText w:val="%1.%2"/>
      <w:lvlJc w:val="left"/>
      <w:pPr>
        <w:tabs>
          <w:tab w:val="num" w:pos="680"/>
        </w:tabs>
        <w:ind w:left="680" w:hanging="680"/>
      </w:pPr>
      <w:rPr>
        <w:rFonts w:ascii="Chalet-NewYorkNineteenSixty" w:hAnsi="Chalet-NewYorkNineteenSixty" w:hint="default"/>
        <w:color w:val="44546A" w:themeColor="text2"/>
        <w:sz w:val="32"/>
      </w:rPr>
    </w:lvl>
    <w:lvl w:ilvl="2">
      <w:start w:val="1"/>
      <w:numFmt w:val="decimal"/>
      <w:lvlText w:val="%1.%2.%3"/>
      <w:lvlJc w:val="left"/>
      <w:pPr>
        <w:tabs>
          <w:tab w:val="num" w:pos="964"/>
        </w:tabs>
        <w:ind w:left="964" w:hanging="964"/>
      </w:pPr>
      <w:rPr>
        <w:rFonts w:ascii="Chalet-NewYorkNineteenSixty" w:hAnsi="Chalet-NewYorkNineteenSixty" w:hint="default"/>
        <w:color w:val="000000" w:themeColor="text1"/>
        <w:sz w:val="28"/>
      </w:rPr>
    </w:lvl>
    <w:lvl w:ilvl="3">
      <w:start w:val="1"/>
      <w:numFmt w:val="decimal"/>
      <w:lvlText w:val="%1.%2.%3.%4"/>
      <w:lvlJc w:val="left"/>
      <w:pPr>
        <w:tabs>
          <w:tab w:val="num" w:pos="1247"/>
        </w:tabs>
        <w:ind w:left="1247" w:hanging="1247"/>
      </w:pPr>
      <w:rPr>
        <w:rFonts w:ascii="Chalet-NewYorkNineteenSixty" w:hAnsi="Chalet-NewYorkNineteenSixty" w:hint="default"/>
        <w:color w:val="000000" w:themeColor="text1"/>
        <w:sz w:val="24"/>
      </w:rPr>
    </w:lvl>
    <w:lvl w:ilvl="4">
      <w:start w:val="1"/>
      <w:numFmt w:val="decimal"/>
      <w:lvlText w:val="%1.%2.%3.%4.%5"/>
      <w:lvlJc w:val="left"/>
      <w:pPr>
        <w:tabs>
          <w:tab w:val="num" w:pos="1531"/>
        </w:tabs>
        <w:ind w:left="1531" w:hanging="1531"/>
      </w:pPr>
      <w:rPr>
        <w:rFonts w:ascii="Chalet-NewYorkNineteenSixty" w:hAnsi="Chalet-NewYorkNineteenSixty" w:hint="default"/>
        <w:color w:val="000000" w:themeColor="text1"/>
        <w:sz w:val="24"/>
      </w:rPr>
    </w:lvl>
    <w:lvl w:ilvl="5">
      <w:start w:val="1"/>
      <w:numFmt w:val="decimal"/>
      <w:lvlText w:val="%1.%2.%3.%4.%5.%6"/>
      <w:lvlJc w:val="left"/>
      <w:pPr>
        <w:tabs>
          <w:tab w:val="num" w:pos="1758"/>
        </w:tabs>
        <w:ind w:left="1758" w:hanging="1758"/>
      </w:pPr>
      <w:rPr>
        <w:rFonts w:ascii="Chalet-NewYorkNineteenSixty" w:hAnsi="Chalet-NewYorkNineteenSixty" w:hint="default"/>
        <w:color w:val="000000" w:themeColor="text1"/>
        <w:sz w:val="24"/>
      </w:rPr>
    </w:lvl>
    <w:lvl w:ilvl="6">
      <w:start w:val="1"/>
      <w:numFmt w:val="decimal"/>
      <w:lvlText w:val="%1.%2.%3.%4.%5.%6.%7"/>
      <w:lvlJc w:val="left"/>
      <w:pPr>
        <w:tabs>
          <w:tab w:val="num" w:pos="2098"/>
        </w:tabs>
        <w:ind w:left="2098" w:hanging="2098"/>
      </w:pPr>
      <w:rPr>
        <w:rFonts w:ascii="Chalet-NewYorkNineteenSixty" w:hAnsi="Chalet-NewYorkNineteenSixty" w:hint="default"/>
        <w:color w:val="000000" w:themeColor="text1"/>
        <w:sz w:val="24"/>
      </w:rPr>
    </w:lvl>
    <w:lvl w:ilvl="7">
      <w:start w:val="1"/>
      <w:numFmt w:val="decimal"/>
      <w:lvlText w:val="%1.%2.%3.%4.%5.%6.%7.%8"/>
      <w:lvlJc w:val="left"/>
      <w:pPr>
        <w:tabs>
          <w:tab w:val="num" w:pos="2381"/>
        </w:tabs>
        <w:ind w:left="2381" w:hanging="2381"/>
      </w:pPr>
      <w:rPr>
        <w:rFonts w:ascii="Chalet-NewYorkNineteenSixty" w:hAnsi="Chalet-NewYorkNineteenSixty" w:hint="default"/>
        <w:color w:val="000000" w:themeColor="text1"/>
        <w:sz w:val="24"/>
      </w:rPr>
    </w:lvl>
    <w:lvl w:ilvl="8">
      <w:start w:val="1"/>
      <w:numFmt w:val="decimal"/>
      <w:lvlText w:val="%1.%2.%3.%4.%5.%6.%7.%8.%9"/>
      <w:lvlJc w:val="left"/>
      <w:pPr>
        <w:tabs>
          <w:tab w:val="num" w:pos="2665"/>
        </w:tabs>
        <w:ind w:left="2665" w:hanging="2665"/>
      </w:pPr>
      <w:rPr>
        <w:rFonts w:ascii="Chalet-NewYorkNineteenSixty" w:hAnsi="Chalet-NewYorkNineteenSixty" w:hint="default"/>
        <w:color w:val="000000" w:themeColor="text1"/>
        <w:sz w:val="24"/>
      </w:rPr>
    </w:lvl>
  </w:abstractNum>
  <w:num w:numId="1" w16cid:durableId="2101482945">
    <w:abstractNumId w:val="24"/>
  </w:num>
  <w:num w:numId="2" w16cid:durableId="471289608">
    <w:abstractNumId w:val="36"/>
    <w:lvlOverride w:ilvl="0">
      <w:lvl w:ilvl="0">
        <w:start w:val="1"/>
        <w:numFmt w:val="decimal"/>
        <w:pStyle w:val="Heading1"/>
        <w:lvlText w:val="%1."/>
        <w:lvlJc w:val="left"/>
        <w:pPr>
          <w:tabs>
            <w:tab w:val="num" w:pos="680"/>
          </w:tabs>
          <w:ind w:left="680" w:hanging="680"/>
        </w:pPr>
        <w:rPr>
          <w:rFonts w:ascii="Arial" w:hAnsi="Arial" w:cs="Arial" w:hint="default"/>
          <w:color w:val="E7E6E6" w:themeColor="background2"/>
          <w:sz w:val="48"/>
        </w:rPr>
      </w:lvl>
    </w:lvlOverride>
    <w:lvlOverride w:ilvl="1">
      <w:lvl w:ilvl="1">
        <w:start w:val="1"/>
        <w:numFmt w:val="decimal"/>
        <w:pStyle w:val="Heading2"/>
        <w:lvlText w:val="%1.%2"/>
        <w:lvlJc w:val="left"/>
        <w:pPr>
          <w:tabs>
            <w:tab w:val="num" w:pos="10037"/>
          </w:tabs>
          <w:ind w:left="10037" w:hanging="680"/>
        </w:pPr>
        <w:rPr>
          <w:rFonts w:ascii="Arial" w:hAnsi="Arial" w:cs="Arial" w:hint="default"/>
          <w:color w:val="44546A" w:themeColor="text2"/>
          <w:sz w:val="32"/>
        </w:rPr>
      </w:lvl>
    </w:lvlOverride>
  </w:num>
  <w:num w:numId="3" w16cid:durableId="647368270">
    <w:abstractNumId w:val="35"/>
  </w:num>
  <w:num w:numId="4" w16cid:durableId="1492788518">
    <w:abstractNumId w:val="18"/>
  </w:num>
  <w:num w:numId="5" w16cid:durableId="1481462965">
    <w:abstractNumId w:val="27"/>
  </w:num>
  <w:num w:numId="6" w16cid:durableId="1979991502">
    <w:abstractNumId w:val="12"/>
  </w:num>
  <w:num w:numId="7" w16cid:durableId="240608443">
    <w:abstractNumId w:val="14"/>
  </w:num>
  <w:num w:numId="8" w16cid:durableId="1639140882">
    <w:abstractNumId w:val="21"/>
  </w:num>
  <w:num w:numId="9" w16cid:durableId="353656316">
    <w:abstractNumId w:val="3"/>
  </w:num>
  <w:num w:numId="10" w16cid:durableId="994644274">
    <w:abstractNumId w:val="5"/>
  </w:num>
  <w:num w:numId="11" w16cid:durableId="336081490">
    <w:abstractNumId w:val="15"/>
  </w:num>
  <w:num w:numId="12" w16cid:durableId="1055286">
    <w:abstractNumId w:val="17"/>
  </w:num>
  <w:num w:numId="13" w16cid:durableId="1000160983">
    <w:abstractNumId w:val="29"/>
  </w:num>
  <w:num w:numId="14" w16cid:durableId="815684490">
    <w:abstractNumId w:val="19"/>
  </w:num>
  <w:num w:numId="15" w16cid:durableId="990407433">
    <w:abstractNumId w:val="13"/>
  </w:num>
  <w:num w:numId="16" w16cid:durableId="1555120115">
    <w:abstractNumId w:val="7"/>
  </w:num>
  <w:num w:numId="17" w16cid:durableId="800457930">
    <w:abstractNumId w:val="0"/>
  </w:num>
  <w:num w:numId="18" w16cid:durableId="1934699964">
    <w:abstractNumId w:val="4"/>
  </w:num>
  <w:num w:numId="19" w16cid:durableId="1080905268">
    <w:abstractNumId w:val="26"/>
  </w:num>
  <w:num w:numId="20" w16cid:durableId="1678922218">
    <w:abstractNumId w:val="11"/>
  </w:num>
  <w:num w:numId="21" w16cid:durableId="1436169145">
    <w:abstractNumId w:val="23"/>
  </w:num>
  <w:num w:numId="22" w16cid:durableId="420176336">
    <w:abstractNumId w:val="25"/>
  </w:num>
  <w:num w:numId="23" w16cid:durableId="1620796731">
    <w:abstractNumId w:val="32"/>
  </w:num>
  <w:num w:numId="24" w16cid:durableId="1164586809">
    <w:abstractNumId w:val="16"/>
  </w:num>
  <w:num w:numId="25" w16cid:durableId="120074750">
    <w:abstractNumId w:val="30"/>
  </w:num>
  <w:num w:numId="26" w16cid:durableId="489374786">
    <w:abstractNumId w:val="28"/>
  </w:num>
  <w:num w:numId="27" w16cid:durableId="1454903307">
    <w:abstractNumId w:val="10"/>
  </w:num>
  <w:num w:numId="28" w16cid:durableId="1543593910">
    <w:abstractNumId w:val="34"/>
  </w:num>
  <w:num w:numId="29" w16cid:durableId="1724403467">
    <w:abstractNumId w:val="1"/>
  </w:num>
  <w:num w:numId="30" w16cid:durableId="1166631506">
    <w:abstractNumId w:val="9"/>
  </w:num>
  <w:num w:numId="31" w16cid:durableId="1683510984">
    <w:abstractNumId w:val="6"/>
  </w:num>
  <w:num w:numId="32" w16cid:durableId="439184583">
    <w:abstractNumId w:val="2"/>
  </w:num>
  <w:num w:numId="33" w16cid:durableId="1424959923">
    <w:abstractNumId w:val="22"/>
  </w:num>
  <w:num w:numId="34" w16cid:durableId="2125230984">
    <w:abstractNumId w:val="20"/>
  </w:num>
  <w:num w:numId="35" w16cid:durableId="1294562600">
    <w:abstractNumId w:val="31"/>
  </w:num>
  <w:num w:numId="36" w16cid:durableId="960654190">
    <w:abstractNumId w:val="8"/>
  </w:num>
  <w:num w:numId="37" w16cid:durableId="136606376">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BC"/>
    <w:rsid w:val="00000A47"/>
    <w:rsid w:val="00001492"/>
    <w:rsid w:val="000014BB"/>
    <w:rsid w:val="00001C72"/>
    <w:rsid w:val="00003166"/>
    <w:rsid w:val="00004972"/>
    <w:rsid w:val="00005677"/>
    <w:rsid w:val="0000718E"/>
    <w:rsid w:val="000116D0"/>
    <w:rsid w:val="00011ACE"/>
    <w:rsid w:val="00013BF5"/>
    <w:rsid w:val="00015164"/>
    <w:rsid w:val="000155CF"/>
    <w:rsid w:val="000164EC"/>
    <w:rsid w:val="00016D32"/>
    <w:rsid w:val="00016E81"/>
    <w:rsid w:val="00017BD5"/>
    <w:rsid w:val="00017E90"/>
    <w:rsid w:val="000205ED"/>
    <w:rsid w:val="00022635"/>
    <w:rsid w:val="00022979"/>
    <w:rsid w:val="00023DE8"/>
    <w:rsid w:val="00026595"/>
    <w:rsid w:val="00027777"/>
    <w:rsid w:val="0003075A"/>
    <w:rsid w:val="000311BF"/>
    <w:rsid w:val="00031A37"/>
    <w:rsid w:val="000329A8"/>
    <w:rsid w:val="00032E4A"/>
    <w:rsid w:val="0003329B"/>
    <w:rsid w:val="000354EE"/>
    <w:rsid w:val="00036005"/>
    <w:rsid w:val="00036B2F"/>
    <w:rsid w:val="00041F6E"/>
    <w:rsid w:val="0004230A"/>
    <w:rsid w:val="00042EA3"/>
    <w:rsid w:val="00043707"/>
    <w:rsid w:val="000438C9"/>
    <w:rsid w:val="00046399"/>
    <w:rsid w:val="00047D0A"/>
    <w:rsid w:val="00051DC3"/>
    <w:rsid w:val="0005292C"/>
    <w:rsid w:val="00052EC9"/>
    <w:rsid w:val="000540AD"/>
    <w:rsid w:val="000571DB"/>
    <w:rsid w:val="00062A3C"/>
    <w:rsid w:val="00066645"/>
    <w:rsid w:val="00066C4E"/>
    <w:rsid w:val="00072B10"/>
    <w:rsid w:val="00073139"/>
    <w:rsid w:val="00075C6B"/>
    <w:rsid w:val="000776EF"/>
    <w:rsid w:val="00077986"/>
    <w:rsid w:val="00080459"/>
    <w:rsid w:val="00080F4E"/>
    <w:rsid w:val="00081F49"/>
    <w:rsid w:val="00083A49"/>
    <w:rsid w:val="0008468D"/>
    <w:rsid w:val="00085969"/>
    <w:rsid w:val="000878B6"/>
    <w:rsid w:val="00087CF7"/>
    <w:rsid w:val="00087FE3"/>
    <w:rsid w:val="00090534"/>
    <w:rsid w:val="00090C2F"/>
    <w:rsid w:val="00091578"/>
    <w:rsid w:val="00091730"/>
    <w:rsid w:val="00091DC9"/>
    <w:rsid w:val="000930F1"/>
    <w:rsid w:val="00095659"/>
    <w:rsid w:val="0009581B"/>
    <w:rsid w:val="00095A29"/>
    <w:rsid w:val="00096C73"/>
    <w:rsid w:val="00097491"/>
    <w:rsid w:val="000A149E"/>
    <w:rsid w:val="000A172E"/>
    <w:rsid w:val="000A392D"/>
    <w:rsid w:val="000A427E"/>
    <w:rsid w:val="000A4529"/>
    <w:rsid w:val="000A4CF7"/>
    <w:rsid w:val="000A5A7D"/>
    <w:rsid w:val="000A7324"/>
    <w:rsid w:val="000B2B1F"/>
    <w:rsid w:val="000B2E60"/>
    <w:rsid w:val="000B358F"/>
    <w:rsid w:val="000B3E4F"/>
    <w:rsid w:val="000B402D"/>
    <w:rsid w:val="000B6551"/>
    <w:rsid w:val="000B6B34"/>
    <w:rsid w:val="000C0144"/>
    <w:rsid w:val="000C0AE5"/>
    <w:rsid w:val="000C129F"/>
    <w:rsid w:val="000C40AF"/>
    <w:rsid w:val="000C4808"/>
    <w:rsid w:val="000C4A4B"/>
    <w:rsid w:val="000C5AFF"/>
    <w:rsid w:val="000C6259"/>
    <w:rsid w:val="000D0AE2"/>
    <w:rsid w:val="000D1F6E"/>
    <w:rsid w:val="000D295F"/>
    <w:rsid w:val="000D31E7"/>
    <w:rsid w:val="000D3486"/>
    <w:rsid w:val="000D3822"/>
    <w:rsid w:val="000D5292"/>
    <w:rsid w:val="000D6250"/>
    <w:rsid w:val="000D6AC8"/>
    <w:rsid w:val="000D7809"/>
    <w:rsid w:val="000E0901"/>
    <w:rsid w:val="000E0C1F"/>
    <w:rsid w:val="000E0DE0"/>
    <w:rsid w:val="000E14C5"/>
    <w:rsid w:val="000E21BC"/>
    <w:rsid w:val="000E2E38"/>
    <w:rsid w:val="000E5313"/>
    <w:rsid w:val="000E6C1E"/>
    <w:rsid w:val="000E7E3D"/>
    <w:rsid w:val="000F1CF5"/>
    <w:rsid w:val="000F26F7"/>
    <w:rsid w:val="000F3323"/>
    <w:rsid w:val="000F4BB1"/>
    <w:rsid w:val="000F5047"/>
    <w:rsid w:val="000F5E21"/>
    <w:rsid w:val="000F5E51"/>
    <w:rsid w:val="000F788F"/>
    <w:rsid w:val="001024A6"/>
    <w:rsid w:val="00102962"/>
    <w:rsid w:val="00102EAF"/>
    <w:rsid w:val="0010452F"/>
    <w:rsid w:val="0010592B"/>
    <w:rsid w:val="001066E5"/>
    <w:rsid w:val="001067B0"/>
    <w:rsid w:val="00106F84"/>
    <w:rsid w:val="00107328"/>
    <w:rsid w:val="0011021A"/>
    <w:rsid w:val="00112C32"/>
    <w:rsid w:val="00115816"/>
    <w:rsid w:val="00115AA9"/>
    <w:rsid w:val="001166DA"/>
    <w:rsid w:val="00117844"/>
    <w:rsid w:val="00122099"/>
    <w:rsid w:val="0012221E"/>
    <w:rsid w:val="00122EC6"/>
    <w:rsid w:val="00122FB1"/>
    <w:rsid w:val="0012356C"/>
    <w:rsid w:val="00124061"/>
    <w:rsid w:val="00124416"/>
    <w:rsid w:val="00124BF6"/>
    <w:rsid w:val="00126140"/>
    <w:rsid w:val="00126C1A"/>
    <w:rsid w:val="00126EFB"/>
    <w:rsid w:val="0013007A"/>
    <w:rsid w:val="00133EEC"/>
    <w:rsid w:val="0013588E"/>
    <w:rsid w:val="00135CDA"/>
    <w:rsid w:val="00136AFC"/>
    <w:rsid w:val="00136B35"/>
    <w:rsid w:val="00137C66"/>
    <w:rsid w:val="001400EF"/>
    <w:rsid w:val="001410A3"/>
    <w:rsid w:val="0014227C"/>
    <w:rsid w:val="00142874"/>
    <w:rsid w:val="00142FEE"/>
    <w:rsid w:val="00143291"/>
    <w:rsid w:val="00144F6F"/>
    <w:rsid w:val="001478F3"/>
    <w:rsid w:val="00147A91"/>
    <w:rsid w:val="00147DF6"/>
    <w:rsid w:val="00147E07"/>
    <w:rsid w:val="00151560"/>
    <w:rsid w:val="00152CB7"/>
    <w:rsid w:val="001534BD"/>
    <w:rsid w:val="0015362B"/>
    <w:rsid w:val="001537FB"/>
    <w:rsid w:val="0015401D"/>
    <w:rsid w:val="00154EB4"/>
    <w:rsid w:val="00155728"/>
    <w:rsid w:val="00156B8B"/>
    <w:rsid w:val="00157FB7"/>
    <w:rsid w:val="00160E90"/>
    <w:rsid w:val="00163EDC"/>
    <w:rsid w:val="00164B5A"/>
    <w:rsid w:val="00164B91"/>
    <w:rsid w:val="00164B93"/>
    <w:rsid w:val="001655E6"/>
    <w:rsid w:val="00166560"/>
    <w:rsid w:val="001669B9"/>
    <w:rsid w:val="0016717A"/>
    <w:rsid w:val="00171583"/>
    <w:rsid w:val="00172CE9"/>
    <w:rsid w:val="00172F4A"/>
    <w:rsid w:val="00173EBB"/>
    <w:rsid w:val="00173FBA"/>
    <w:rsid w:val="00176126"/>
    <w:rsid w:val="00176491"/>
    <w:rsid w:val="0017698A"/>
    <w:rsid w:val="00177CAC"/>
    <w:rsid w:val="0018168C"/>
    <w:rsid w:val="0018253E"/>
    <w:rsid w:val="00182D32"/>
    <w:rsid w:val="0018305C"/>
    <w:rsid w:val="00184271"/>
    <w:rsid w:val="0018456B"/>
    <w:rsid w:val="00185A41"/>
    <w:rsid w:val="0018705C"/>
    <w:rsid w:val="001877BC"/>
    <w:rsid w:val="00187CEC"/>
    <w:rsid w:val="0019044D"/>
    <w:rsid w:val="001908F9"/>
    <w:rsid w:val="00190D80"/>
    <w:rsid w:val="00193EBC"/>
    <w:rsid w:val="001951A7"/>
    <w:rsid w:val="00195836"/>
    <w:rsid w:val="00196DF4"/>
    <w:rsid w:val="00197EFC"/>
    <w:rsid w:val="001A227F"/>
    <w:rsid w:val="001A26E5"/>
    <w:rsid w:val="001A27A2"/>
    <w:rsid w:val="001A2FF2"/>
    <w:rsid w:val="001A39B2"/>
    <w:rsid w:val="001A45DF"/>
    <w:rsid w:val="001A6290"/>
    <w:rsid w:val="001A7536"/>
    <w:rsid w:val="001A7D53"/>
    <w:rsid w:val="001B00D4"/>
    <w:rsid w:val="001B0C17"/>
    <w:rsid w:val="001B221B"/>
    <w:rsid w:val="001B3A9A"/>
    <w:rsid w:val="001B6D3D"/>
    <w:rsid w:val="001C006F"/>
    <w:rsid w:val="001C0C2C"/>
    <w:rsid w:val="001C16EF"/>
    <w:rsid w:val="001C1BE1"/>
    <w:rsid w:val="001C1EA8"/>
    <w:rsid w:val="001C287F"/>
    <w:rsid w:val="001C2BC3"/>
    <w:rsid w:val="001C2F68"/>
    <w:rsid w:val="001C3689"/>
    <w:rsid w:val="001C56C9"/>
    <w:rsid w:val="001C5A91"/>
    <w:rsid w:val="001D0454"/>
    <w:rsid w:val="001D098D"/>
    <w:rsid w:val="001D35E2"/>
    <w:rsid w:val="001D506F"/>
    <w:rsid w:val="001D60BC"/>
    <w:rsid w:val="001D666A"/>
    <w:rsid w:val="001E3198"/>
    <w:rsid w:val="001E53C8"/>
    <w:rsid w:val="001E61CD"/>
    <w:rsid w:val="001F09BB"/>
    <w:rsid w:val="001F0B87"/>
    <w:rsid w:val="001F0EEF"/>
    <w:rsid w:val="001F1013"/>
    <w:rsid w:val="001F20AA"/>
    <w:rsid w:val="001F2EDE"/>
    <w:rsid w:val="001F3563"/>
    <w:rsid w:val="001F49DF"/>
    <w:rsid w:val="001F5652"/>
    <w:rsid w:val="001F5ADB"/>
    <w:rsid w:val="001F5B39"/>
    <w:rsid w:val="001F601E"/>
    <w:rsid w:val="001F71B7"/>
    <w:rsid w:val="0020009E"/>
    <w:rsid w:val="00200336"/>
    <w:rsid w:val="00200708"/>
    <w:rsid w:val="0020251D"/>
    <w:rsid w:val="00205C18"/>
    <w:rsid w:val="00206423"/>
    <w:rsid w:val="002075AF"/>
    <w:rsid w:val="00210241"/>
    <w:rsid w:val="00211D69"/>
    <w:rsid w:val="00212373"/>
    <w:rsid w:val="00212AB2"/>
    <w:rsid w:val="002137AD"/>
    <w:rsid w:val="002139C6"/>
    <w:rsid w:val="002146DA"/>
    <w:rsid w:val="00214D82"/>
    <w:rsid w:val="002156BD"/>
    <w:rsid w:val="00220A6C"/>
    <w:rsid w:val="00220DD6"/>
    <w:rsid w:val="002210FF"/>
    <w:rsid w:val="00222AAE"/>
    <w:rsid w:val="002238B1"/>
    <w:rsid w:val="00225147"/>
    <w:rsid w:val="002257CC"/>
    <w:rsid w:val="002261BE"/>
    <w:rsid w:val="00226B76"/>
    <w:rsid w:val="002317A2"/>
    <w:rsid w:val="00231E41"/>
    <w:rsid w:val="00233429"/>
    <w:rsid w:val="00234C1F"/>
    <w:rsid w:val="00234F34"/>
    <w:rsid w:val="0023513B"/>
    <w:rsid w:val="00235B57"/>
    <w:rsid w:val="00236F34"/>
    <w:rsid w:val="00237455"/>
    <w:rsid w:val="00237AA6"/>
    <w:rsid w:val="00237E8C"/>
    <w:rsid w:val="00243E4C"/>
    <w:rsid w:val="00244233"/>
    <w:rsid w:val="00245F25"/>
    <w:rsid w:val="00246549"/>
    <w:rsid w:val="00247546"/>
    <w:rsid w:val="002508C8"/>
    <w:rsid w:val="002515D1"/>
    <w:rsid w:val="00255A81"/>
    <w:rsid w:val="0025626E"/>
    <w:rsid w:val="002569A1"/>
    <w:rsid w:val="00257293"/>
    <w:rsid w:val="002577D4"/>
    <w:rsid w:val="00261AAE"/>
    <w:rsid w:val="00262613"/>
    <w:rsid w:val="0026332F"/>
    <w:rsid w:val="00263BF7"/>
    <w:rsid w:val="00264408"/>
    <w:rsid w:val="0026452A"/>
    <w:rsid w:val="00265DBA"/>
    <w:rsid w:val="0026630D"/>
    <w:rsid w:val="002672E3"/>
    <w:rsid w:val="002673BB"/>
    <w:rsid w:val="00267456"/>
    <w:rsid w:val="0027003F"/>
    <w:rsid w:val="0027232D"/>
    <w:rsid w:val="0028037C"/>
    <w:rsid w:val="00280A40"/>
    <w:rsid w:val="00280ADA"/>
    <w:rsid w:val="00280D11"/>
    <w:rsid w:val="00280E11"/>
    <w:rsid w:val="00281B31"/>
    <w:rsid w:val="00281ED3"/>
    <w:rsid w:val="002821F6"/>
    <w:rsid w:val="00282B99"/>
    <w:rsid w:val="00283B73"/>
    <w:rsid w:val="0029047E"/>
    <w:rsid w:val="00291276"/>
    <w:rsid w:val="00292020"/>
    <w:rsid w:val="002921EB"/>
    <w:rsid w:val="00292B34"/>
    <w:rsid w:val="00293AF5"/>
    <w:rsid w:val="00293FED"/>
    <w:rsid w:val="00294233"/>
    <w:rsid w:val="00294FB6"/>
    <w:rsid w:val="0029567A"/>
    <w:rsid w:val="002968B8"/>
    <w:rsid w:val="002A16FA"/>
    <w:rsid w:val="002A4064"/>
    <w:rsid w:val="002A4134"/>
    <w:rsid w:val="002A4159"/>
    <w:rsid w:val="002A45C1"/>
    <w:rsid w:val="002A6DB4"/>
    <w:rsid w:val="002A712F"/>
    <w:rsid w:val="002A7C5D"/>
    <w:rsid w:val="002B1E7B"/>
    <w:rsid w:val="002B20D5"/>
    <w:rsid w:val="002B2ADA"/>
    <w:rsid w:val="002B326E"/>
    <w:rsid w:val="002B64A8"/>
    <w:rsid w:val="002B6A16"/>
    <w:rsid w:val="002B7DBB"/>
    <w:rsid w:val="002C0406"/>
    <w:rsid w:val="002C05D5"/>
    <w:rsid w:val="002C0B1A"/>
    <w:rsid w:val="002C2EDC"/>
    <w:rsid w:val="002C30BA"/>
    <w:rsid w:val="002C4BD8"/>
    <w:rsid w:val="002C4FF3"/>
    <w:rsid w:val="002C77AE"/>
    <w:rsid w:val="002D1129"/>
    <w:rsid w:val="002D1D5B"/>
    <w:rsid w:val="002D1D74"/>
    <w:rsid w:val="002D2121"/>
    <w:rsid w:val="002D26CA"/>
    <w:rsid w:val="002D2E43"/>
    <w:rsid w:val="002D5AA6"/>
    <w:rsid w:val="002D5E61"/>
    <w:rsid w:val="002D6324"/>
    <w:rsid w:val="002E0088"/>
    <w:rsid w:val="002E0CEF"/>
    <w:rsid w:val="002E1774"/>
    <w:rsid w:val="002E30C2"/>
    <w:rsid w:val="002E3772"/>
    <w:rsid w:val="002E3D08"/>
    <w:rsid w:val="002E41F5"/>
    <w:rsid w:val="002E79DF"/>
    <w:rsid w:val="002F0F05"/>
    <w:rsid w:val="002F0FDB"/>
    <w:rsid w:val="002F2D95"/>
    <w:rsid w:val="002F3047"/>
    <w:rsid w:val="002F7603"/>
    <w:rsid w:val="00301ABB"/>
    <w:rsid w:val="0030223E"/>
    <w:rsid w:val="0030306B"/>
    <w:rsid w:val="00303D01"/>
    <w:rsid w:val="0030464D"/>
    <w:rsid w:val="00304CB2"/>
    <w:rsid w:val="0030570B"/>
    <w:rsid w:val="00305F94"/>
    <w:rsid w:val="003064B4"/>
    <w:rsid w:val="00307055"/>
    <w:rsid w:val="00307263"/>
    <w:rsid w:val="0030744E"/>
    <w:rsid w:val="00311115"/>
    <w:rsid w:val="003115C3"/>
    <w:rsid w:val="00312B82"/>
    <w:rsid w:val="003146CD"/>
    <w:rsid w:val="003149B1"/>
    <w:rsid w:val="00315456"/>
    <w:rsid w:val="00315610"/>
    <w:rsid w:val="00315EC6"/>
    <w:rsid w:val="003179F1"/>
    <w:rsid w:val="00322342"/>
    <w:rsid w:val="003235C0"/>
    <w:rsid w:val="00323C77"/>
    <w:rsid w:val="003263EA"/>
    <w:rsid w:val="00327311"/>
    <w:rsid w:val="003278EB"/>
    <w:rsid w:val="00330F3A"/>
    <w:rsid w:val="0033247F"/>
    <w:rsid w:val="0033286F"/>
    <w:rsid w:val="00336B6B"/>
    <w:rsid w:val="0034077A"/>
    <w:rsid w:val="00340D07"/>
    <w:rsid w:val="00342DEF"/>
    <w:rsid w:val="00344574"/>
    <w:rsid w:val="00344BDC"/>
    <w:rsid w:val="00345376"/>
    <w:rsid w:val="00345FA4"/>
    <w:rsid w:val="00347557"/>
    <w:rsid w:val="00352830"/>
    <w:rsid w:val="00352A81"/>
    <w:rsid w:val="00352A9F"/>
    <w:rsid w:val="00352DC2"/>
    <w:rsid w:val="00352DE7"/>
    <w:rsid w:val="00352F91"/>
    <w:rsid w:val="00354120"/>
    <w:rsid w:val="00354A62"/>
    <w:rsid w:val="00354AC1"/>
    <w:rsid w:val="00355612"/>
    <w:rsid w:val="00355BBA"/>
    <w:rsid w:val="00355FD8"/>
    <w:rsid w:val="00356AA4"/>
    <w:rsid w:val="00361785"/>
    <w:rsid w:val="003620B2"/>
    <w:rsid w:val="00362B8F"/>
    <w:rsid w:val="00365364"/>
    <w:rsid w:val="00366A84"/>
    <w:rsid w:val="003700B2"/>
    <w:rsid w:val="0037056A"/>
    <w:rsid w:val="00370BD9"/>
    <w:rsid w:val="00373365"/>
    <w:rsid w:val="00374730"/>
    <w:rsid w:val="003747CD"/>
    <w:rsid w:val="00374ED9"/>
    <w:rsid w:val="00376B6D"/>
    <w:rsid w:val="00376CB4"/>
    <w:rsid w:val="00381334"/>
    <w:rsid w:val="00382BD0"/>
    <w:rsid w:val="0038438D"/>
    <w:rsid w:val="003856E0"/>
    <w:rsid w:val="00385FFC"/>
    <w:rsid w:val="0038797D"/>
    <w:rsid w:val="003904CA"/>
    <w:rsid w:val="003905C7"/>
    <w:rsid w:val="003907DC"/>
    <w:rsid w:val="00391C49"/>
    <w:rsid w:val="003939A1"/>
    <w:rsid w:val="00393E11"/>
    <w:rsid w:val="003944E5"/>
    <w:rsid w:val="00395B95"/>
    <w:rsid w:val="003A04AA"/>
    <w:rsid w:val="003A06AE"/>
    <w:rsid w:val="003A17BB"/>
    <w:rsid w:val="003A1EB9"/>
    <w:rsid w:val="003A2390"/>
    <w:rsid w:val="003A2532"/>
    <w:rsid w:val="003A4693"/>
    <w:rsid w:val="003A4C2C"/>
    <w:rsid w:val="003A56B5"/>
    <w:rsid w:val="003A5AD2"/>
    <w:rsid w:val="003B1397"/>
    <w:rsid w:val="003B1F35"/>
    <w:rsid w:val="003B299E"/>
    <w:rsid w:val="003B2CBE"/>
    <w:rsid w:val="003B2D99"/>
    <w:rsid w:val="003B349A"/>
    <w:rsid w:val="003B3BD1"/>
    <w:rsid w:val="003C0C04"/>
    <w:rsid w:val="003C0D39"/>
    <w:rsid w:val="003C2615"/>
    <w:rsid w:val="003C2769"/>
    <w:rsid w:val="003C3868"/>
    <w:rsid w:val="003C427B"/>
    <w:rsid w:val="003C452D"/>
    <w:rsid w:val="003C5070"/>
    <w:rsid w:val="003C5AA7"/>
    <w:rsid w:val="003C6B40"/>
    <w:rsid w:val="003C7BD9"/>
    <w:rsid w:val="003D03DF"/>
    <w:rsid w:val="003D0C5D"/>
    <w:rsid w:val="003D19A1"/>
    <w:rsid w:val="003D2B19"/>
    <w:rsid w:val="003D4486"/>
    <w:rsid w:val="003D4742"/>
    <w:rsid w:val="003D484E"/>
    <w:rsid w:val="003D49F7"/>
    <w:rsid w:val="003E0913"/>
    <w:rsid w:val="003E0927"/>
    <w:rsid w:val="003E19A6"/>
    <w:rsid w:val="003E4D26"/>
    <w:rsid w:val="003E67F0"/>
    <w:rsid w:val="003E693C"/>
    <w:rsid w:val="003E7529"/>
    <w:rsid w:val="003E79C0"/>
    <w:rsid w:val="003E7D54"/>
    <w:rsid w:val="003F0B50"/>
    <w:rsid w:val="003F1A3B"/>
    <w:rsid w:val="003F294D"/>
    <w:rsid w:val="003F4415"/>
    <w:rsid w:val="003F523C"/>
    <w:rsid w:val="003F5A14"/>
    <w:rsid w:val="003F5B2A"/>
    <w:rsid w:val="003F608F"/>
    <w:rsid w:val="003F677E"/>
    <w:rsid w:val="003F6878"/>
    <w:rsid w:val="003F6E54"/>
    <w:rsid w:val="003F73EA"/>
    <w:rsid w:val="003F7DC4"/>
    <w:rsid w:val="004005B6"/>
    <w:rsid w:val="004012E8"/>
    <w:rsid w:val="004013E1"/>
    <w:rsid w:val="00402525"/>
    <w:rsid w:val="004031F5"/>
    <w:rsid w:val="00404592"/>
    <w:rsid w:val="00404CA9"/>
    <w:rsid w:val="00405320"/>
    <w:rsid w:val="00407070"/>
    <w:rsid w:val="00410C8A"/>
    <w:rsid w:val="00410D36"/>
    <w:rsid w:val="00412140"/>
    <w:rsid w:val="00413318"/>
    <w:rsid w:val="00415FF1"/>
    <w:rsid w:val="00417E99"/>
    <w:rsid w:val="004200E1"/>
    <w:rsid w:val="004200E5"/>
    <w:rsid w:val="00420855"/>
    <w:rsid w:val="00420A68"/>
    <w:rsid w:val="00421C5F"/>
    <w:rsid w:val="0042221E"/>
    <w:rsid w:val="00424861"/>
    <w:rsid w:val="004253FE"/>
    <w:rsid w:val="00425B41"/>
    <w:rsid w:val="004268D1"/>
    <w:rsid w:val="004268FE"/>
    <w:rsid w:val="00427B75"/>
    <w:rsid w:val="00427E1B"/>
    <w:rsid w:val="00431680"/>
    <w:rsid w:val="004333A6"/>
    <w:rsid w:val="00433934"/>
    <w:rsid w:val="00433FD5"/>
    <w:rsid w:val="0043550A"/>
    <w:rsid w:val="00435571"/>
    <w:rsid w:val="0043594C"/>
    <w:rsid w:val="00435EEC"/>
    <w:rsid w:val="00436022"/>
    <w:rsid w:val="004441B9"/>
    <w:rsid w:val="00444D16"/>
    <w:rsid w:val="00445103"/>
    <w:rsid w:val="0044586D"/>
    <w:rsid w:val="00446EB5"/>
    <w:rsid w:val="00450607"/>
    <w:rsid w:val="004543B8"/>
    <w:rsid w:val="004562DD"/>
    <w:rsid w:val="00460A0E"/>
    <w:rsid w:val="0046126C"/>
    <w:rsid w:val="00462490"/>
    <w:rsid w:val="0046275B"/>
    <w:rsid w:val="0046545F"/>
    <w:rsid w:val="004657AA"/>
    <w:rsid w:val="00466BBB"/>
    <w:rsid w:val="00467723"/>
    <w:rsid w:val="0046797F"/>
    <w:rsid w:val="00467FB4"/>
    <w:rsid w:val="00470304"/>
    <w:rsid w:val="00470C2E"/>
    <w:rsid w:val="00472666"/>
    <w:rsid w:val="00473CE9"/>
    <w:rsid w:val="004754E6"/>
    <w:rsid w:val="0047691D"/>
    <w:rsid w:val="00480289"/>
    <w:rsid w:val="00481B18"/>
    <w:rsid w:val="0048225D"/>
    <w:rsid w:val="00482617"/>
    <w:rsid w:val="00482EEF"/>
    <w:rsid w:val="0048423E"/>
    <w:rsid w:val="0048438E"/>
    <w:rsid w:val="00485588"/>
    <w:rsid w:val="00491F90"/>
    <w:rsid w:val="00493954"/>
    <w:rsid w:val="004944E9"/>
    <w:rsid w:val="004946AF"/>
    <w:rsid w:val="00494BB7"/>
    <w:rsid w:val="004961A4"/>
    <w:rsid w:val="004961FC"/>
    <w:rsid w:val="00496CB3"/>
    <w:rsid w:val="004A0A25"/>
    <w:rsid w:val="004A20C6"/>
    <w:rsid w:val="004A61D1"/>
    <w:rsid w:val="004B12DA"/>
    <w:rsid w:val="004B1FB2"/>
    <w:rsid w:val="004B49BA"/>
    <w:rsid w:val="004B5B53"/>
    <w:rsid w:val="004B62AB"/>
    <w:rsid w:val="004B6B0A"/>
    <w:rsid w:val="004B777F"/>
    <w:rsid w:val="004B7BF4"/>
    <w:rsid w:val="004C0086"/>
    <w:rsid w:val="004C0C9D"/>
    <w:rsid w:val="004C15DC"/>
    <w:rsid w:val="004C1EA2"/>
    <w:rsid w:val="004C2421"/>
    <w:rsid w:val="004C3129"/>
    <w:rsid w:val="004C5710"/>
    <w:rsid w:val="004C58C8"/>
    <w:rsid w:val="004C5B0F"/>
    <w:rsid w:val="004D0A6A"/>
    <w:rsid w:val="004D0C84"/>
    <w:rsid w:val="004D186E"/>
    <w:rsid w:val="004D1F66"/>
    <w:rsid w:val="004D250B"/>
    <w:rsid w:val="004D2DF1"/>
    <w:rsid w:val="004D38A4"/>
    <w:rsid w:val="004D396E"/>
    <w:rsid w:val="004D3C4C"/>
    <w:rsid w:val="004D54C4"/>
    <w:rsid w:val="004D7430"/>
    <w:rsid w:val="004D7576"/>
    <w:rsid w:val="004D78D3"/>
    <w:rsid w:val="004D7960"/>
    <w:rsid w:val="004E0A17"/>
    <w:rsid w:val="004E2307"/>
    <w:rsid w:val="004E23F2"/>
    <w:rsid w:val="004E2CBE"/>
    <w:rsid w:val="004E2D14"/>
    <w:rsid w:val="004E2DE9"/>
    <w:rsid w:val="004E39AB"/>
    <w:rsid w:val="004E5B88"/>
    <w:rsid w:val="004E6F99"/>
    <w:rsid w:val="004F151C"/>
    <w:rsid w:val="004F1E3A"/>
    <w:rsid w:val="004F3354"/>
    <w:rsid w:val="004F6388"/>
    <w:rsid w:val="004F714B"/>
    <w:rsid w:val="00500C17"/>
    <w:rsid w:val="0050319B"/>
    <w:rsid w:val="005033AA"/>
    <w:rsid w:val="005044C5"/>
    <w:rsid w:val="00504DB7"/>
    <w:rsid w:val="005062B5"/>
    <w:rsid w:val="00510503"/>
    <w:rsid w:val="00510B6E"/>
    <w:rsid w:val="005112E7"/>
    <w:rsid w:val="00511690"/>
    <w:rsid w:val="00512A79"/>
    <w:rsid w:val="00513747"/>
    <w:rsid w:val="005142B2"/>
    <w:rsid w:val="00515CEA"/>
    <w:rsid w:val="005165A6"/>
    <w:rsid w:val="00516A90"/>
    <w:rsid w:val="005174FB"/>
    <w:rsid w:val="005200B5"/>
    <w:rsid w:val="005202B3"/>
    <w:rsid w:val="00520BE6"/>
    <w:rsid w:val="005262B0"/>
    <w:rsid w:val="00527CF5"/>
    <w:rsid w:val="005314AC"/>
    <w:rsid w:val="00532E1B"/>
    <w:rsid w:val="00533203"/>
    <w:rsid w:val="005334C3"/>
    <w:rsid w:val="00533727"/>
    <w:rsid w:val="0053375D"/>
    <w:rsid w:val="005344EB"/>
    <w:rsid w:val="0053468D"/>
    <w:rsid w:val="00535336"/>
    <w:rsid w:val="00536574"/>
    <w:rsid w:val="00536D00"/>
    <w:rsid w:val="00536D39"/>
    <w:rsid w:val="00540366"/>
    <w:rsid w:val="005412D3"/>
    <w:rsid w:val="005420CD"/>
    <w:rsid w:val="00543743"/>
    <w:rsid w:val="00544779"/>
    <w:rsid w:val="00544CEA"/>
    <w:rsid w:val="00544D3F"/>
    <w:rsid w:val="00544F2C"/>
    <w:rsid w:val="00545557"/>
    <w:rsid w:val="00546F76"/>
    <w:rsid w:val="00550EDB"/>
    <w:rsid w:val="00551605"/>
    <w:rsid w:val="00551BE5"/>
    <w:rsid w:val="0055295C"/>
    <w:rsid w:val="00553A4D"/>
    <w:rsid w:val="00554C74"/>
    <w:rsid w:val="005554FA"/>
    <w:rsid w:val="00556A76"/>
    <w:rsid w:val="00557279"/>
    <w:rsid w:val="005613E2"/>
    <w:rsid w:val="00562783"/>
    <w:rsid w:val="00563469"/>
    <w:rsid w:val="00565107"/>
    <w:rsid w:val="00565697"/>
    <w:rsid w:val="00565BD1"/>
    <w:rsid w:val="00570A6E"/>
    <w:rsid w:val="00571E14"/>
    <w:rsid w:val="00571E8A"/>
    <w:rsid w:val="00572287"/>
    <w:rsid w:val="005722D0"/>
    <w:rsid w:val="0057329D"/>
    <w:rsid w:val="00573F8F"/>
    <w:rsid w:val="0057412C"/>
    <w:rsid w:val="00575BB9"/>
    <w:rsid w:val="0057638F"/>
    <w:rsid w:val="005765A4"/>
    <w:rsid w:val="00576C71"/>
    <w:rsid w:val="0057750B"/>
    <w:rsid w:val="005808D4"/>
    <w:rsid w:val="00580B46"/>
    <w:rsid w:val="00580D3C"/>
    <w:rsid w:val="005814B5"/>
    <w:rsid w:val="00581E9C"/>
    <w:rsid w:val="00585B51"/>
    <w:rsid w:val="00585F60"/>
    <w:rsid w:val="00586097"/>
    <w:rsid w:val="00586196"/>
    <w:rsid w:val="00586DC7"/>
    <w:rsid w:val="00587A28"/>
    <w:rsid w:val="00590EF3"/>
    <w:rsid w:val="005920D6"/>
    <w:rsid w:val="0059218E"/>
    <w:rsid w:val="005969D5"/>
    <w:rsid w:val="00597709"/>
    <w:rsid w:val="00597719"/>
    <w:rsid w:val="005A06F1"/>
    <w:rsid w:val="005A3531"/>
    <w:rsid w:val="005A7D44"/>
    <w:rsid w:val="005B28D3"/>
    <w:rsid w:val="005B4C4B"/>
    <w:rsid w:val="005B5053"/>
    <w:rsid w:val="005B6460"/>
    <w:rsid w:val="005B6563"/>
    <w:rsid w:val="005B67BE"/>
    <w:rsid w:val="005B6BA5"/>
    <w:rsid w:val="005B79F0"/>
    <w:rsid w:val="005B7C4C"/>
    <w:rsid w:val="005B7CE1"/>
    <w:rsid w:val="005C0A85"/>
    <w:rsid w:val="005C0F2B"/>
    <w:rsid w:val="005C2C43"/>
    <w:rsid w:val="005C30AF"/>
    <w:rsid w:val="005C36B2"/>
    <w:rsid w:val="005C3889"/>
    <w:rsid w:val="005C506C"/>
    <w:rsid w:val="005C672B"/>
    <w:rsid w:val="005C6DA8"/>
    <w:rsid w:val="005C70A2"/>
    <w:rsid w:val="005C7E8A"/>
    <w:rsid w:val="005D1707"/>
    <w:rsid w:val="005D1CB5"/>
    <w:rsid w:val="005D2D76"/>
    <w:rsid w:val="005D331C"/>
    <w:rsid w:val="005D3638"/>
    <w:rsid w:val="005D36FC"/>
    <w:rsid w:val="005D4704"/>
    <w:rsid w:val="005D49E7"/>
    <w:rsid w:val="005D518E"/>
    <w:rsid w:val="005D615F"/>
    <w:rsid w:val="005D65CB"/>
    <w:rsid w:val="005E06C2"/>
    <w:rsid w:val="005E0D12"/>
    <w:rsid w:val="005E2BB9"/>
    <w:rsid w:val="005E30C9"/>
    <w:rsid w:val="005E43A3"/>
    <w:rsid w:val="005E452A"/>
    <w:rsid w:val="005E760B"/>
    <w:rsid w:val="005E794A"/>
    <w:rsid w:val="005E7BD0"/>
    <w:rsid w:val="005E7E47"/>
    <w:rsid w:val="005F059C"/>
    <w:rsid w:val="005F0790"/>
    <w:rsid w:val="005F2E63"/>
    <w:rsid w:val="005F40BB"/>
    <w:rsid w:val="005F6219"/>
    <w:rsid w:val="005F65F4"/>
    <w:rsid w:val="005F73A5"/>
    <w:rsid w:val="005F77A2"/>
    <w:rsid w:val="00600393"/>
    <w:rsid w:val="00602A26"/>
    <w:rsid w:val="00603454"/>
    <w:rsid w:val="006058C5"/>
    <w:rsid w:val="00605CD3"/>
    <w:rsid w:val="00606B63"/>
    <w:rsid w:val="00607799"/>
    <w:rsid w:val="00607E20"/>
    <w:rsid w:val="00607FB4"/>
    <w:rsid w:val="00611644"/>
    <w:rsid w:val="00612EC9"/>
    <w:rsid w:val="00615168"/>
    <w:rsid w:val="006229EB"/>
    <w:rsid w:val="0062321C"/>
    <w:rsid w:val="0062328E"/>
    <w:rsid w:val="006244BC"/>
    <w:rsid w:val="0062509F"/>
    <w:rsid w:val="00625263"/>
    <w:rsid w:val="00625439"/>
    <w:rsid w:val="00625757"/>
    <w:rsid w:val="00625A74"/>
    <w:rsid w:val="00625FF7"/>
    <w:rsid w:val="0062625A"/>
    <w:rsid w:val="00632C6E"/>
    <w:rsid w:val="00633020"/>
    <w:rsid w:val="00633835"/>
    <w:rsid w:val="00635700"/>
    <w:rsid w:val="00635AD7"/>
    <w:rsid w:val="00636F47"/>
    <w:rsid w:val="00640001"/>
    <w:rsid w:val="0064074F"/>
    <w:rsid w:val="00641626"/>
    <w:rsid w:val="006427EB"/>
    <w:rsid w:val="00642B00"/>
    <w:rsid w:val="006441F6"/>
    <w:rsid w:val="006450A6"/>
    <w:rsid w:val="00645475"/>
    <w:rsid w:val="0064593C"/>
    <w:rsid w:val="00647325"/>
    <w:rsid w:val="00647C0F"/>
    <w:rsid w:val="00650014"/>
    <w:rsid w:val="0065047F"/>
    <w:rsid w:val="0065095B"/>
    <w:rsid w:val="00651EC3"/>
    <w:rsid w:val="0065422A"/>
    <w:rsid w:val="00654E50"/>
    <w:rsid w:val="00655172"/>
    <w:rsid w:val="00655489"/>
    <w:rsid w:val="0065673C"/>
    <w:rsid w:val="00657E90"/>
    <w:rsid w:val="00661615"/>
    <w:rsid w:val="006617CD"/>
    <w:rsid w:val="0066196A"/>
    <w:rsid w:val="00661C9C"/>
    <w:rsid w:val="00663920"/>
    <w:rsid w:val="006654A7"/>
    <w:rsid w:val="00666A56"/>
    <w:rsid w:val="006672BB"/>
    <w:rsid w:val="00670717"/>
    <w:rsid w:val="00671749"/>
    <w:rsid w:val="006719E6"/>
    <w:rsid w:val="006757AA"/>
    <w:rsid w:val="00677D2A"/>
    <w:rsid w:val="00680363"/>
    <w:rsid w:val="00686CC3"/>
    <w:rsid w:val="00692D96"/>
    <w:rsid w:val="00693621"/>
    <w:rsid w:val="00693D43"/>
    <w:rsid w:val="00694377"/>
    <w:rsid w:val="00694C36"/>
    <w:rsid w:val="0069550C"/>
    <w:rsid w:val="00696501"/>
    <w:rsid w:val="00697032"/>
    <w:rsid w:val="006977D4"/>
    <w:rsid w:val="006A12CE"/>
    <w:rsid w:val="006A1A03"/>
    <w:rsid w:val="006A2E01"/>
    <w:rsid w:val="006A3F39"/>
    <w:rsid w:val="006A5C02"/>
    <w:rsid w:val="006A6759"/>
    <w:rsid w:val="006A6B0A"/>
    <w:rsid w:val="006B201E"/>
    <w:rsid w:val="006B5004"/>
    <w:rsid w:val="006B58F7"/>
    <w:rsid w:val="006B691F"/>
    <w:rsid w:val="006B6C4C"/>
    <w:rsid w:val="006B6F1D"/>
    <w:rsid w:val="006C0308"/>
    <w:rsid w:val="006C148D"/>
    <w:rsid w:val="006C43DB"/>
    <w:rsid w:val="006C46EA"/>
    <w:rsid w:val="006C4E39"/>
    <w:rsid w:val="006C5C32"/>
    <w:rsid w:val="006C5DC7"/>
    <w:rsid w:val="006C6412"/>
    <w:rsid w:val="006C7031"/>
    <w:rsid w:val="006C7E86"/>
    <w:rsid w:val="006D02A0"/>
    <w:rsid w:val="006D07FA"/>
    <w:rsid w:val="006D13EE"/>
    <w:rsid w:val="006D489A"/>
    <w:rsid w:val="006D594D"/>
    <w:rsid w:val="006E127B"/>
    <w:rsid w:val="006E3ABF"/>
    <w:rsid w:val="006E6F4D"/>
    <w:rsid w:val="006E7D6D"/>
    <w:rsid w:val="006F0C69"/>
    <w:rsid w:val="006F1613"/>
    <w:rsid w:val="006F4E90"/>
    <w:rsid w:val="006F6615"/>
    <w:rsid w:val="006F723E"/>
    <w:rsid w:val="006F7B6D"/>
    <w:rsid w:val="00703159"/>
    <w:rsid w:val="0070429B"/>
    <w:rsid w:val="00705864"/>
    <w:rsid w:val="007059D6"/>
    <w:rsid w:val="00707345"/>
    <w:rsid w:val="00707443"/>
    <w:rsid w:val="007074E4"/>
    <w:rsid w:val="00707578"/>
    <w:rsid w:val="007076BD"/>
    <w:rsid w:val="00707C47"/>
    <w:rsid w:val="00707D8F"/>
    <w:rsid w:val="00710712"/>
    <w:rsid w:val="00710DA4"/>
    <w:rsid w:val="0071185D"/>
    <w:rsid w:val="0071239D"/>
    <w:rsid w:val="007124B8"/>
    <w:rsid w:val="0071256A"/>
    <w:rsid w:val="00714FD8"/>
    <w:rsid w:val="00715C2A"/>
    <w:rsid w:val="00716819"/>
    <w:rsid w:val="00717161"/>
    <w:rsid w:val="00717B5F"/>
    <w:rsid w:val="00717FFA"/>
    <w:rsid w:val="00721BF0"/>
    <w:rsid w:val="00724878"/>
    <w:rsid w:val="00724D85"/>
    <w:rsid w:val="00724F46"/>
    <w:rsid w:val="00731FBC"/>
    <w:rsid w:val="00733370"/>
    <w:rsid w:val="007344CD"/>
    <w:rsid w:val="00734A9F"/>
    <w:rsid w:val="007352F7"/>
    <w:rsid w:val="007353B0"/>
    <w:rsid w:val="007361C8"/>
    <w:rsid w:val="007377CD"/>
    <w:rsid w:val="0074054C"/>
    <w:rsid w:val="00740F41"/>
    <w:rsid w:val="00741AB7"/>
    <w:rsid w:val="0074263F"/>
    <w:rsid w:val="00744CB6"/>
    <w:rsid w:val="00744D44"/>
    <w:rsid w:val="00744FF3"/>
    <w:rsid w:val="00745B1E"/>
    <w:rsid w:val="00746D4F"/>
    <w:rsid w:val="00746D90"/>
    <w:rsid w:val="00750B0E"/>
    <w:rsid w:val="00751B87"/>
    <w:rsid w:val="00752F09"/>
    <w:rsid w:val="007530DF"/>
    <w:rsid w:val="00753893"/>
    <w:rsid w:val="00754685"/>
    <w:rsid w:val="0075655C"/>
    <w:rsid w:val="00760023"/>
    <w:rsid w:val="00760059"/>
    <w:rsid w:val="007604B3"/>
    <w:rsid w:val="007612D2"/>
    <w:rsid w:val="007623D3"/>
    <w:rsid w:val="00763241"/>
    <w:rsid w:val="0076369A"/>
    <w:rsid w:val="00763D71"/>
    <w:rsid w:val="00764B97"/>
    <w:rsid w:val="00765EC9"/>
    <w:rsid w:val="0076633C"/>
    <w:rsid w:val="00766F30"/>
    <w:rsid w:val="00767BFF"/>
    <w:rsid w:val="00771EE3"/>
    <w:rsid w:val="007741D0"/>
    <w:rsid w:val="007741D4"/>
    <w:rsid w:val="007745F7"/>
    <w:rsid w:val="00776729"/>
    <w:rsid w:val="00777BDC"/>
    <w:rsid w:val="00777C10"/>
    <w:rsid w:val="007822B2"/>
    <w:rsid w:val="00782438"/>
    <w:rsid w:val="00783435"/>
    <w:rsid w:val="007856E4"/>
    <w:rsid w:val="00786003"/>
    <w:rsid w:val="007862F3"/>
    <w:rsid w:val="00786CA7"/>
    <w:rsid w:val="00787BF6"/>
    <w:rsid w:val="007902F6"/>
    <w:rsid w:val="0079076C"/>
    <w:rsid w:val="00794295"/>
    <w:rsid w:val="007975E4"/>
    <w:rsid w:val="007A07A6"/>
    <w:rsid w:val="007A0C06"/>
    <w:rsid w:val="007A0D98"/>
    <w:rsid w:val="007A2BCE"/>
    <w:rsid w:val="007A327D"/>
    <w:rsid w:val="007A3ABC"/>
    <w:rsid w:val="007A4D70"/>
    <w:rsid w:val="007A5BD5"/>
    <w:rsid w:val="007A6799"/>
    <w:rsid w:val="007A7523"/>
    <w:rsid w:val="007A7561"/>
    <w:rsid w:val="007B193C"/>
    <w:rsid w:val="007B2B0A"/>
    <w:rsid w:val="007B3E86"/>
    <w:rsid w:val="007B5756"/>
    <w:rsid w:val="007B5E75"/>
    <w:rsid w:val="007B6902"/>
    <w:rsid w:val="007B72E1"/>
    <w:rsid w:val="007B7F2F"/>
    <w:rsid w:val="007C02FE"/>
    <w:rsid w:val="007C1AF2"/>
    <w:rsid w:val="007C293A"/>
    <w:rsid w:val="007C3011"/>
    <w:rsid w:val="007C38D9"/>
    <w:rsid w:val="007C3AE9"/>
    <w:rsid w:val="007C6AC5"/>
    <w:rsid w:val="007C7748"/>
    <w:rsid w:val="007D09DE"/>
    <w:rsid w:val="007D0DB8"/>
    <w:rsid w:val="007D12B8"/>
    <w:rsid w:val="007D1934"/>
    <w:rsid w:val="007D269F"/>
    <w:rsid w:val="007D2A9F"/>
    <w:rsid w:val="007D37F4"/>
    <w:rsid w:val="007D3EEC"/>
    <w:rsid w:val="007D3FE7"/>
    <w:rsid w:val="007D4037"/>
    <w:rsid w:val="007D5FDA"/>
    <w:rsid w:val="007D6A68"/>
    <w:rsid w:val="007D73E5"/>
    <w:rsid w:val="007E1F97"/>
    <w:rsid w:val="007E2B6A"/>
    <w:rsid w:val="007E2F66"/>
    <w:rsid w:val="007E5F5A"/>
    <w:rsid w:val="007E6AEC"/>
    <w:rsid w:val="007E711D"/>
    <w:rsid w:val="007E7D0E"/>
    <w:rsid w:val="007F11D0"/>
    <w:rsid w:val="007F2511"/>
    <w:rsid w:val="007F326E"/>
    <w:rsid w:val="007F33B8"/>
    <w:rsid w:val="007F3D4F"/>
    <w:rsid w:val="007F419A"/>
    <w:rsid w:val="007F502B"/>
    <w:rsid w:val="007F5D37"/>
    <w:rsid w:val="0080012D"/>
    <w:rsid w:val="00801129"/>
    <w:rsid w:val="00801D47"/>
    <w:rsid w:val="00803541"/>
    <w:rsid w:val="008059CF"/>
    <w:rsid w:val="00805CF6"/>
    <w:rsid w:val="008062AE"/>
    <w:rsid w:val="00807AE0"/>
    <w:rsid w:val="00810F84"/>
    <w:rsid w:val="00817766"/>
    <w:rsid w:val="008179BA"/>
    <w:rsid w:val="00817A28"/>
    <w:rsid w:val="0082064B"/>
    <w:rsid w:val="008210C5"/>
    <w:rsid w:val="00822CAA"/>
    <w:rsid w:val="00822DF9"/>
    <w:rsid w:val="0082388F"/>
    <w:rsid w:val="008250A3"/>
    <w:rsid w:val="00825E5A"/>
    <w:rsid w:val="00827ACE"/>
    <w:rsid w:val="00827DA2"/>
    <w:rsid w:val="008301BD"/>
    <w:rsid w:val="008310EE"/>
    <w:rsid w:val="008317D9"/>
    <w:rsid w:val="0083319C"/>
    <w:rsid w:val="00833365"/>
    <w:rsid w:val="00833AF7"/>
    <w:rsid w:val="00833BD0"/>
    <w:rsid w:val="0083449E"/>
    <w:rsid w:val="00835908"/>
    <w:rsid w:val="00836319"/>
    <w:rsid w:val="00836391"/>
    <w:rsid w:val="0083696E"/>
    <w:rsid w:val="008376C9"/>
    <w:rsid w:val="0084068B"/>
    <w:rsid w:val="00843AA1"/>
    <w:rsid w:val="00844BD8"/>
    <w:rsid w:val="00845673"/>
    <w:rsid w:val="0084782C"/>
    <w:rsid w:val="00847ED8"/>
    <w:rsid w:val="008507EC"/>
    <w:rsid w:val="00850940"/>
    <w:rsid w:val="00851CA0"/>
    <w:rsid w:val="00851FC7"/>
    <w:rsid w:val="008526E4"/>
    <w:rsid w:val="0085320D"/>
    <w:rsid w:val="00853A80"/>
    <w:rsid w:val="00853BE0"/>
    <w:rsid w:val="00853EDF"/>
    <w:rsid w:val="0085407A"/>
    <w:rsid w:val="00855C92"/>
    <w:rsid w:val="00856390"/>
    <w:rsid w:val="008570C1"/>
    <w:rsid w:val="00857DD7"/>
    <w:rsid w:val="00860BEF"/>
    <w:rsid w:val="00861395"/>
    <w:rsid w:val="0086197D"/>
    <w:rsid w:val="008652C6"/>
    <w:rsid w:val="0086606D"/>
    <w:rsid w:val="00867087"/>
    <w:rsid w:val="0086725D"/>
    <w:rsid w:val="00871908"/>
    <w:rsid w:val="008722A7"/>
    <w:rsid w:val="0087435E"/>
    <w:rsid w:val="00874BB8"/>
    <w:rsid w:val="008758DA"/>
    <w:rsid w:val="008762B3"/>
    <w:rsid w:val="0088034C"/>
    <w:rsid w:val="00881657"/>
    <w:rsid w:val="008816E3"/>
    <w:rsid w:val="00881C71"/>
    <w:rsid w:val="00882933"/>
    <w:rsid w:val="00882C8F"/>
    <w:rsid w:val="00883124"/>
    <w:rsid w:val="00883451"/>
    <w:rsid w:val="008836C0"/>
    <w:rsid w:val="008836C1"/>
    <w:rsid w:val="00884BCB"/>
    <w:rsid w:val="00886CD9"/>
    <w:rsid w:val="008906DF"/>
    <w:rsid w:val="008933F6"/>
    <w:rsid w:val="0089470D"/>
    <w:rsid w:val="00894726"/>
    <w:rsid w:val="00897302"/>
    <w:rsid w:val="008978CD"/>
    <w:rsid w:val="008A0CD4"/>
    <w:rsid w:val="008A229F"/>
    <w:rsid w:val="008A368F"/>
    <w:rsid w:val="008A3C2E"/>
    <w:rsid w:val="008A3DBF"/>
    <w:rsid w:val="008A3FE3"/>
    <w:rsid w:val="008A720A"/>
    <w:rsid w:val="008A79F0"/>
    <w:rsid w:val="008A79F4"/>
    <w:rsid w:val="008A7FC5"/>
    <w:rsid w:val="008B0337"/>
    <w:rsid w:val="008B0887"/>
    <w:rsid w:val="008B49CD"/>
    <w:rsid w:val="008B4A1A"/>
    <w:rsid w:val="008B4D0F"/>
    <w:rsid w:val="008B55B2"/>
    <w:rsid w:val="008B6E84"/>
    <w:rsid w:val="008B79A5"/>
    <w:rsid w:val="008C25D0"/>
    <w:rsid w:val="008C35D8"/>
    <w:rsid w:val="008C446C"/>
    <w:rsid w:val="008C6577"/>
    <w:rsid w:val="008D0060"/>
    <w:rsid w:val="008D0202"/>
    <w:rsid w:val="008D0B08"/>
    <w:rsid w:val="008D1250"/>
    <w:rsid w:val="008D131F"/>
    <w:rsid w:val="008D149C"/>
    <w:rsid w:val="008D2D94"/>
    <w:rsid w:val="008D3CB4"/>
    <w:rsid w:val="008D5567"/>
    <w:rsid w:val="008E0AD2"/>
    <w:rsid w:val="008E16D6"/>
    <w:rsid w:val="008E38BE"/>
    <w:rsid w:val="008E6961"/>
    <w:rsid w:val="008E7AED"/>
    <w:rsid w:val="008E7B81"/>
    <w:rsid w:val="008F13B9"/>
    <w:rsid w:val="008F208C"/>
    <w:rsid w:val="008F242D"/>
    <w:rsid w:val="008F2760"/>
    <w:rsid w:val="008F4385"/>
    <w:rsid w:val="008F6082"/>
    <w:rsid w:val="008F6920"/>
    <w:rsid w:val="008F70CD"/>
    <w:rsid w:val="008F79BB"/>
    <w:rsid w:val="009028A4"/>
    <w:rsid w:val="0090455B"/>
    <w:rsid w:val="00907C83"/>
    <w:rsid w:val="00910547"/>
    <w:rsid w:val="009105DE"/>
    <w:rsid w:val="00910801"/>
    <w:rsid w:val="00911BC0"/>
    <w:rsid w:val="00912292"/>
    <w:rsid w:val="0091245D"/>
    <w:rsid w:val="00912A0C"/>
    <w:rsid w:val="00914B13"/>
    <w:rsid w:val="00915EEB"/>
    <w:rsid w:val="00917C6D"/>
    <w:rsid w:val="00917F01"/>
    <w:rsid w:val="00920C87"/>
    <w:rsid w:val="00921882"/>
    <w:rsid w:val="00921ED3"/>
    <w:rsid w:val="0092264B"/>
    <w:rsid w:val="00923C4A"/>
    <w:rsid w:val="0092465F"/>
    <w:rsid w:val="00924AE8"/>
    <w:rsid w:val="00924CF5"/>
    <w:rsid w:val="00925402"/>
    <w:rsid w:val="009254E1"/>
    <w:rsid w:val="00925B72"/>
    <w:rsid w:val="009268A9"/>
    <w:rsid w:val="0093145E"/>
    <w:rsid w:val="0093244D"/>
    <w:rsid w:val="00932D20"/>
    <w:rsid w:val="009333C1"/>
    <w:rsid w:val="009341CF"/>
    <w:rsid w:val="00934C02"/>
    <w:rsid w:val="00934F0F"/>
    <w:rsid w:val="00936344"/>
    <w:rsid w:val="009419F2"/>
    <w:rsid w:val="009433B9"/>
    <w:rsid w:val="00943F5C"/>
    <w:rsid w:val="009459CB"/>
    <w:rsid w:val="009469F5"/>
    <w:rsid w:val="00946AA1"/>
    <w:rsid w:val="0094750B"/>
    <w:rsid w:val="00947564"/>
    <w:rsid w:val="00950F94"/>
    <w:rsid w:val="00951D3B"/>
    <w:rsid w:val="0095201F"/>
    <w:rsid w:val="00952B8A"/>
    <w:rsid w:val="00956554"/>
    <w:rsid w:val="00957E46"/>
    <w:rsid w:val="009604BC"/>
    <w:rsid w:val="0096067D"/>
    <w:rsid w:val="0096169E"/>
    <w:rsid w:val="0096246D"/>
    <w:rsid w:val="00963B9E"/>
    <w:rsid w:val="00963C7C"/>
    <w:rsid w:val="0096546A"/>
    <w:rsid w:val="009666C4"/>
    <w:rsid w:val="00966A40"/>
    <w:rsid w:val="00967A37"/>
    <w:rsid w:val="00970985"/>
    <w:rsid w:val="009724DA"/>
    <w:rsid w:val="00972ADE"/>
    <w:rsid w:val="00973765"/>
    <w:rsid w:val="0097534A"/>
    <w:rsid w:val="00976606"/>
    <w:rsid w:val="009767DA"/>
    <w:rsid w:val="00980840"/>
    <w:rsid w:val="00981F7F"/>
    <w:rsid w:val="00982AA6"/>
    <w:rsid w:val="00982B8D"/>
    <w:rsid w:val="00985D39"/>
    <w:rsid w:val="009862F5"/>
    <w:rsid w:val="00987C45"/>
    <w:rsid w:val="009917C8"/>
    <w:rsid w:val="00991CB2"/>
    <w:rsid w:val="00991EB9"/>
    <w:rsid w:val="00992123"/>
    <w:rsid w:val="00993DE7"/>
    <w:rsid w:val="0099430D"/>
    <w:rsid w:val="00994736"/>
    <w:rsid w:val="00994CC8"/>
    <w:rsid w:val="00994DD0"/>
    <w:rsid w:val="00995351"/>
    <w:rsid w:val="0099587E"/>
    <w:rsid w:val="0099762F"/>
    <w:rsid w:val="009976F9"/>
    <w:rsid w:val="00997910"/>
    <w:rsid w:val="00997A9F"/>
    <w:rsid w:val="00997E26"/>
    <w:rsid w:val="009A0856"/>
    <w:rsid w:val="009A0A3C"/>
    <w:rsid w:val="009A2CD3"/>
    <w:rsid w:val="009A3B41"/>
    <w:rsid w:val="009A527C"/>
    <w:rsid w:val="009A5340"/>
    <w:rsid w:val="009A656C"/>
    <w:rsid w:val="009B003B"/>
    <w:rsid w:val="009B38AF"/>
    <w:rsid w:val="009B4B8D"/>
    <w:rsid w:val="009B4C67"/>
    <w:rsid w:val="009B6A3D"/>
    <w:rsid w:val="009C176B"/>
    <w:rsid w:val="009C1F9B"/>
    <w:rsid w:val="009C21EE"/>
    <w:rsid w:val="009C2A05"/>
    <w:rsid w:val="009C3827"/>
    <w:rsid w:val="009C543F"/>
    <w:rsid w:val="009C5D6D"/>
    <w:rsid w:val="009D0CF8"/>
    <w:rsid w:val="009D15FD"/>
    <w:rsid w:val="009D1C3A"/>
    <w:rsid w:val="009D2D3A"/>
    <w:rsid w:val="009D35A2"/>
    <w:rsid w:val="009D39E3"/>
    <w:rsid w:val="009D4F87"/>
    <w:rsid w:val="009D57A7"/>
    <w:rsid w:val="009D70C5"/>
    <w:rsid w:val="009D7259"/>
    <w:rsid w:val="009E0815"/>
    <w:rsid w:val="009E0937"/>
    <w:rsid w:val="009E14E5"/>
    <w:rsid w:val="009E1531"/>
    <w:rsid w:val="009E4014"/>
    <w:rsid w:val="009E519F"/>
    <w:rsid w:val="009E6241"/>
    <w:rsid w:val="009F2B2D"/>
    <w:rsid w:val="009F307A"/>
    <w:rsid w:val="009F36D2"/>
    <w:rsid w:val="009F45B1"/>
    <w:rsid w:val="009F48D7"/>
    <w:rsid w:val="009F59F2"/>
    <w:rsid w:val="00A00630"/>
    <w:rsid w:val="00A04892"/>
    <w:rsid w:val="00A04EDD"/>
    <w:rsid w:val="00A062DF"/>
    <w:rsid w:val="00A0741C"/>
    <w:rsid w:val="00A10C88"/>
    <w:rsid w:val="00A12086"/>
    <w:rsid w:val="00A12210"/>
    <w:rsid w:val="00A146C0"/>
    <w:rsid w:val="00A1696A"/>
    <w:rsid w:val="00A20C42"/>
    <w:rsid w:val="00A20E93"/>
    <w:rsid w:val="00A21AD7"/>
    <w:rsid w:val="00A22101"/>
    <w:rsid w:val="00A22397"/>
    <w:rsid w:val="00A226D1"/>
    <w:rsid w:val="00A22F30"/>
    <w:rsid w:val="00A23811"/>
    <w:rsid w:val="00A239D1"/>
    <w:rsid w:val="00A25D67"/>
    <w:rsid w:val="00A25DBF"/>
    <w:rsid w:val="00A267EC"/>
    <w:rsid w:val="00A26C67"/>
    <w:rsid w:val="00A30701"/>
    <w:rsid w:val="00A30C2F"/>
    <w:rsid w:val="00A32580"/>
    <w:rsid w:val="00A32CE8"/>
    <w:rsid w:val="00A32DE6"/>
    <w:rsid w:val="00A339C6"/>
    <w:rsid w:val="00A35B87"/>
    <w:rsid w:val="00A35DE4"/>
    <w:rsid w:val="00A36050"/>
    <w:rsid w:val="00A362F3"/>
    <w:rsid w:val="00A37DC5"/>
    <w:rsid w:val="00A40CD0"/>
    <w:rsid w:val="00A414B1"/>
    <w:rsid w:val="00A419B1"/>
    <w:rsid w:val="00A42DF0"/>
    <w:rsid w:val="00A4361A"/>
    <w:rsid w:val="00A43AF9"/>
    <w:rsid w:val="00A43DBA"/>
    <w:rsid w:val="00A453F8"/>
    <w:rsid w:val="00A4660E"/>
    <w:rsid w:val="00A469D6"/>
    <w:rsid w:val="00A4772C"/>
    <w:rsid w:val="00A52A3F"/>
    <w:rsid w:val="00A52C7C"/>
    <w:rsid w:val="00A52CAD"/>
    <w:rsid w:val="00A53A39"/>
    <w:rsid w:val="00A5484F"/>
    <w:rsid w:val="00A54C82"/>
    <w:rsid w:val="00A54D9F"/>
    <w:rsid w:val="00A55448"/>
    <w:rsid w:val="00A55B51"/>
    <w:rsid w:val="00A56670"/>
    <w:rsid w:val="00A566A7"/>
    <w:rsid w:val="00A574BD"/>
    <w:rsid w:val="00A57ED8"/>
    <w:rsid w:val="00A60705"/>
    <w:rsid w:val="00A61A03"/>
    <w:rsid w:val="00A65824"/>
    <w:rsid w:val="00A67510"/>
    <w:rsid w:val="00A700EF"/>
    <w:rsid w:val="00A703D1"/>
    <w:rsid w:val="00A737BD"/>
    <w:rsid w:val="00A7403E"/>
    <w:rsid w:val="00A75640"/>
    <w:rsid w:val="00A76173"/>
    <w:rsid w:val="00A765A0"/>
    <w:rsid w:val="00A769A1"/>
    <w:rsid w:val="00A81AB0"/>
    <w:rsid w:val="00A8301E"/>
    <w:rsid w:val="00A83B36"/>
    <w:rsid w:val="00A86B2D"/>
    <w:rsid w:val="00A8703F"/>
    <w:rsid w:val="00A901AD"/>
    <w:rsid w:val="00A908F3"/>
    <w:rsid w:val="00A90F41"/>
    <w:rsid w:val="00A91598"/>
    <w:rsid w:val="00A9176F"/>
    <w:rsid w:val="00A91E0B"/>
    <w:rsid w:val="00A9587B"/>
    <w:rsid w:val="00A974DF"/>
    <w:rsid w:val="00A9756A"/>
    <w:rsid w:val="00AA12C5"/>
    <w:rsid w:val="00AA1F3D"/>
    <w:rsid w:val="00AA2A99"/>
    <w:rsid w:val="00AA2E8E"/>
    <w:rsid w:val="00AA4122"/>
    <w:rsid w:val="00AA49B3"/>
    <w:rsid w:val="00AA5024"/>
    <w:rsid w:val="00AA5BD5"/>
    <w:rsid w:val="00AB043D"/>
    <w:rsid w:val="00AB09AE"/>
    <w:rsid w:val="00AB0EB6"/>
    <w:rsid w:val="00AB1A28"/>
    <w:rsid w:val="00AB225D"/>
    <w:rsid w:val="00AB28DC"/>
    <w:rsid w:val="00AB401B"/>
    <w:rsid w:val="00AB42BF"/>
    <w:rsid w:val="00AB4663"/>
    <w:rsid w:val="00AB4CD4"/>
    <w:rsid w:val="00AB52C2"/>
    <w:rsid w:val="00AB5BF2"/>
    <w:rsid w:val="00AB72B1"/>
    <w:rsid w:val="00AC0720"/>
    <w:rsid w:val="00AC1B5F"/>
    <w:rsid w:val="00AC2401"/>
    <w:rsid w:val="00AC4AC6"/>
    <w:rsid w:val="00AC4E56"/>
    <w:rsid w:val="00AC5BF0"/>
    <w:rsid w:val="00AC5DE4"/>
    <w:rsid w:val="00AC6219"/>
    <w:rsid w:val="00AD1223"/>
    <w:rsid w:val="00AD137F"/>
    <w:rsid w:val="00AD2528"/>
    <w:rsid w:val="00AD2BA3"/>
    <w:rsid w:val="00AD3692"/>
    <w:rsid w:val="00AD3F9B"/>
    <w:rsid w:val="00AD4A63"/>
    <w:rsid w:val="00AD4B58"/>
    <w:rsid w:val="00AD61E2"/>
    <w:rsid w:val="00AE0528"/>
    <w:rsid w:val="00AE2655"/>
    <w:rsid w:val="00AE379B"/>
    <w:rsid w:val="00AE4AD5"/>
    <w:rsid w:val="00AE4C4C"/>
    <w:rsid w:val="00AE6B65"/>
    <w:rsid w:val="00AE6EF4"/>
    <w:rsid w:val="00AE7315"/>
    <w:rsid w:val="00AF1835"/>
    <w:rsid w:val="00AF20CA"/>
    <w:rsid w:val="00AF2E70"/>
    <w:rsid w:val="00AF395C"/>
    <w:rsid w:val="00AF76A3"/>
    <w:rsid w:val="00AF7B73"/>
    <w:rsid w:val="00B00CE1"/>
    <w:rsid w:val="00B01580"/>
    <w:rsid w:val="00B02E2B"/>
    <w:rsid w:val="00B0307B"/>
    <w:rsid w:val="00B038E6"/>
    <w:rsid w:val="00B03FEC"/>
    <w:rsid w:val="00B043A2"/>
    <w:rsid w:val="00B04788"/>
    <w:rsid w:val="00B05442"/>
    <w:rsid w:val="00B11ABC"/>
    <w:rsid w:val="00B1204A"/>
    <w:rsid w:val="00B125CC"/>
    <w:rsid w:val="00B12674"/>
    <w:rsid w:val="00B16096"/>
    <w:rsid w:val="00B162CF"/>
    <w:rsid w:val="00B20461"/>
    <w:rsid w:val="00B21228"/>
    <w:rsid w:val="00B25AD5"/>
    <w:rsid w:val="00B26046"/>
    <w:rsid w:val="00B27C47"/>
    <w:rsid w:val="00B3163B"/>
    <w:rsid w:val="00B3185B"/>
    <w:rsid w:val="00B32A0C"/>
    <w:rsid w:val="00B33EA0"/>
    <w:rsid w:val="00B35777"/>
    <w:rsid w:val="00B360C5"/>
    <w:rsid w:val="00B41035"/>
    <w:rsid w:val="00B41401"/>
    <w:rsid w:val="00B4299C"/>
    <w:rsid w:val="00B43BFA"/>
    <w:rsid w:val="00B43EB6"/>
    <w:rsid w:val="00B440BA"/>
    <w:rsid w:val="00B45EAA"/>
    <w:rsid w:val="00B5086A"/>
    <w:rsid w:val="00B50C45"/>
    <w:rsid w:val="00B5165C"/>
    <w:rsid w:val="00B5188E"/>
    <w:rsid w:val="00B52B22"/>
    <w:rsid w:val="00B52E16"/>
    <w:rsid w:val="00B52E99"/>
    <w:rsid w:val="00B535CA"/>
    <w:rsid w:val="00B53D26"/>
    <w:rsid w:val="00B53EC9"/>
    <w:rsid w:val="00B5486E"/>
    <w:rsid w:val="00B60C02"/>
    <w:rsid w:val="00B60E2D"/>
    <w:rsid w:val="00B60F83"/>
    <w:rsid w:val="00B61BC9"/>
    <w:rsid w:val="00B6249B"/>
    <w:rsid w:val="00B63FE7"/>
    <w:rsid w:val="00B64B60"/>
    <w:rsid w:val="00B65179"/>
    <w:rsid w:val="00B67A6F"/>
    <w:rsid w:val="00B67DF2"/>
    <w:rsid w:val="00B67DF8"/>
    <w:rsid w:val="00B70A60"/>
    <w:rsid w:val="00B733CB"/>
    <w:rsid w:val="00B735E5"/>
    <w:rsid w:val="00B73D0E"/>
    <w:rsid w:val="00B747D8"/>
    <w:rsid w:val="00B74E36"/>
    <w:rsid w:val="00B7682A"/>
    <w:rsid w:val="00B77EE4"/>
    <w:rsid w:val="00B8129D"/>
    <w:rsid w:val="00B81490"/>
    <w:rsid w:val="00B81E50"/>
    <w:rsid w:val="00B82689"/>
    <w:rsid w:val="00B8353A"/>
    <w:rsid w:val="00B83C7F"/>
    <w:rsid w:val="00B83EB5"/>
    <w:rsid w:val="00B84E4A"/>
    <w:rsid w:val="00B84EFD"/>
    <w:rsid w:val="00B85D40"/>
    <w:rsid w:val="00B910A8"/>
    <w:rsid w:val="00B915AF"/>
    <w:rsid w:val="00B9344A"/>
    <w:rsid w:val="00B94D9D"/>
    <w:rsid w:val="00B965BD"/>
    <w:rsid w:val="00B96E74"/>
    <w:rsid w:val="00B976EE"/>
    <w:rsid w:val="00BA05A3"/>
    <w:rsid w:val="00BA06E6"/>
    <w:rsid w:val="00BA0A4D"/>
    <w:rsid w:val="00BA16DD"/>
    <w:rsid w:val="00BA1B82"/>
    <w:rsid w:val="00BA2080"/>
    <w:rsid w:val="00BA2111"/>
    <w:rsid w:val="00BA3239"/>
    <w:rsid w:val="00BA4C49"/>
    <w:rsid w:val="00BA6F37"/>
    <w:rsid w:val="00BA7449"/>
    <w:rsid w:val="00BA77D5"/>
    <w:rsid w:val="00BA7E08"/>
    <w:rsid w:val="00BB1535"/>
    <w:rsid w:val="00BB1CD8"/>
    <w:rsid w:val="00BB1DAF"/>
    <w:rsid w:val="00BB2259"/>
    <w:rsid w:val="00BB5DD5"/>
    <w:rsid w:val="00BB7FBD"/>
    <w:rsid w:val="00BC1EB0"/>
    <w:rsid w:val="00BC24B0"/>
    <w:rsid w:val="00BC382B"/>
    <w:rsid w:val="00BC55F0"/>
    <w:rsid w:val="00BC66F3"/>
    <w:rsid w:val="00BD02D9"/>
    <w:rsid w:val="00BD0780"/>
    <w:rsid w:val="00BD0BEB"/>
    <w:rsid w:val="00BD27F6"/>
    <w:rsid w:val="00BD321C"/>
    <w:rsid w:val="00BD5187"/>
    <w:rsid w:val="00BD57F4"/>
    <w:rsid w:val="00BE06A0"/>
    <w:rsid w:val="00BE181E"/>
    <w:rsid w:val="00BE31ED"/>
    <w:rsid w:val="00BE487C"/>
    <w:rsid w:val="00BF0820"/>
    <w:rsid w:val="00BF2A50"/>
    <w:rsid w:val="00BF5CD3"/>
    <w:rsid w:val="00BF62CF"/>
    <w:rsid w:val="00BF783C"/>
    <w:rsid w:val="00BF7DDC"/>
    <w:rsid w:val="00C00E06"/>
    <w:rsid w:val="00C010FC"/>
    <w:rsid w:val="00C0153B"/>
    <w:rsid w:val="00C0334B"/>
    <w:rsid w:val="00C03A3C"/>
    <w:rsid w:val="00C042AD"/>
    <w:rsid w:val="00C04587"/>
    <w:rsid w:val="00C06BAC"/>
    <w:rsid w:val="00C06D8C"/>
    <w:rsid w:val="00C074C2"/>
    <w:rsid w:val="00C10421"/>
    <w:rsid w:val="00C104D4"/>
    <w:rsid w:val="00C10E5E"/>
    <w:rsid w:val="00C11130"/>
    <w:rsid w:val="00C11977"/>
    <w:rsid w:val="00C11BCC"/>
    <w:rsid w:val="00C11F2E"/>
    <w:rsid w:val="00C132D3"/>
    <w:rsid w:val="00C14004"/>
    <w:rsid w:val="00C1409E"/>
    <w:rsid w:val="00C14890"/>
    <w:rsid w:val="00C15BB0"/>
    <w:rsid w:val="00C16BE2"/>
    <w:rsid w:val="00C20C39"/>
    <w:rsid w:val="00C2110E"/>
    <w:rsid w:val="00C213D6"/>
    <w:rsid w:val="00C25316"/>
    <w:rsid w:val="00C25663"/>
    <w:rsid w:val="00C25F6A"/>
    <w:rsid w:val="00C2638C"/>
    <w:rsid w:val="00C301AD"/>
    <w:rsid w:val="00C30BF8"/>
    <w:rsid w:val="00C30D14"/>
    <w:rsid w:val="00C31ACD"/>
    <w:rsid w:val="00C321E8"/>
    <w:rsid w:val="00C339DC"/>
    <w:rsid w:val="00C34016"/>
    <w:rsid w:val="00C3463B"/>
    <w:rsid w:val="00C35768"/>
    <w:rsid w:val="00C373CB"/>
    <w:rsid w:val="00C40F61"/>
    <w:rsid w:val="00C411F7"/>
    <w:rsid w:val="00C44823"/>
    <w:rsid w:val="00C44AF6"/>
    <w:rsid w:val="00C45354"/>
    <w:rsid w:val="00C50324"/>
    <w:rsid w:val="00C52BB4"/>
    <w:rsid w:val="00C53706"/>
    <w:rsid w:val="00C611A6"/>
    <w:rsid w:val="00C611A9"/>
    <w:rsid w:val="00C62B5F"/>
    <w:rsid w:val="00C62FE9"/>
    <w:rsid w:val="00C64171"/>
    <w:rsid w:val="00C64C32"/>
    <w:rsid w:val="00C64F59"/>
    <w:rsid w:val="00C655E0"/>
    <w:rsid w:val="00C65CDE"/>
    <w:rsid w:val="00C66097"/>
    <w:rsid w:val="00C665B5"/>
    <w:rsid w:val="00C669B5"/>
    <w:rsid w:val="00C700A2"/>
    <w:rsid w:val="00C70854"/>
    <w:rsid w:val="00C70B67"/>
    <w:rsid w:val="00C710FA"/>
    <w:rsid w:val="00C7181F"/>
    <w:rsid w:val="00C719F2"/>
    <w:rsid w:val="00C71B79"/>
    <w:rsid w:val="00C72368"/>
    <w:rsid w:val="00C73AE7"/>
    <w:rsid w:val="00C740B3"/>
    <w:rsid w:val="00C74B77"/>
    <w:rsid w:val="00C759AE"/>
    <w:rsid w:val="00C759DB"/>
    <w:rsid w:val="00C762A4"/>
    <w:rsid w:val="00C77F94"/>
    <w:rsid w:val="00C80350"/>
    <w:rsid w:val="00C80F48"/>
    <w:rsid w:val="00C80FF0"/>
    <w:rsid w:val="00C81A73"/>
    <w:rsid w:val="00C8246F"/>
    <w:rsid w:val="00C836D6"/>
    <w:rsid w:val="00C84B1D"/>
    <w:rsid w:val="00C85D16"/>
    <w:rsid w:val="00C86425"/>
    <w:rsid w:val="00C871B1"/>
    <w:rsid w:val="00C8721C"/>
    <w:rsid w:val="00C87799"/>
    <w:rsid w:val="00C91A6D"/>
    <w:rsid w:val="00C93B2F"/>
    <w:rsid w:val="00C9476C"/>
    <w:rsid w:val="00CA055F"/>
    <w:rsid w:val="00CA0CA8"/>
    <w:rsid w:val="00CA2BF9"/>
    <w:rsid w:val="00CA2C1B"/>
    <w:rsid w:val="00CA2CDB"/>
    <w:rsid w:val="00CA3C10"/>
    <w:rsid w:val="00CA43BF"/>
    <w:rsid w:val="00CA4D69"/>
    <w:rsid w:val="00CA5996"/>
    <w:rsid w:val="00CA67B5"/>
    <w:rsid w:val="00CA6CFC"/>
    <w:rsid w:val="00CA708D"/>
    <w:rsid w:val="00CA7820"/>
    <w:rsid w:val="00CA7A8D"/>
    <w:rsid w:val="00CB129D"/>
    <w:rsid w:val="00CB1F76"/>
    <w:rsid w:val="00CB2164"/>
    <w:rsid w:val="00CB3124"/>
    <w:rsid w:val="00CB419B"/>
    <w:rsid w:val="00CB466D"/>
    <w:rsid w:val="00CB4EAD"/>
    <w:rsid w:val="00CB5167"/>
    <w:rsid w:val="00CB53FB"/>
    <w:rsid w:val="00CB67D6"/>
    <w:rsid w:val="00CB68D8"/>
    <w:rsid w:val="00CB6D11"/>
    <w:rsid w:val="00CB7785"/>
    <w:rsid w:val="00CC04A7"/>
    <w:rsid w:val="00CC09F0"/>
    <w:rsid w:val="00CC15DC"/>
    <w:rsid w:val="00CC3D8C"/>
    <w:rsid w:val="00CC4F63"/>
    <w:rsid w:val="00CC68B2"/>
    <w:rsid w:val="00CC68FF"/>
    <w:rsid w:val="00CD197C"/>
    <w:rsid w:val="00CD2AE5"/>
    <w:rsid w:val="00CD3942"/>
    <w:rsid w:val="00CD5BB0"/>
    <w:rsid w:val="00CD5EF6"/>
    <w:rsid w:val="00CE0BA1"/>
    <w:rsid w:val="00CE138F"/>
    <w:rsid w:val="00CE2D4D"/>
    <w:rsid w:val="00CE5CB8"/>
    <w:rsid w:val="00CE6A9C"/>
    <w:rsid w:val="00CE79F3"/>
    <w:rsid w:val="00CF0E6E"/>
    <w:rsid w:val="00CF0E91"/>
    <w:rsid w:val="00CF179D"/>
    <w:rsid w:val="00CF1C67"/>
    <w:rsid w:val="00CF2ADC"/>
    <w:rsid w:val="00CF34BC"/>
    <w:rsid w:val="00CF42EC"/>
    <w:rsid w:val="00CF56F1"/>
    <w:rsid w:val="00CF5A87"/>
    <w:rsid w:val="00CF6689"/>
    <w:rsid w:val="00CF7C50"/>
    <w:rsid w:val="00D00888"/>
    <w:rsid w:val="00D00AC8"/>
    <w:rsid w:val="00D0193C"/>
    <w:rsid w:val="00D023FF"/>
    <w:rsid w:val="00D045EC"/>
    <w:rsid w:val="00D04A34"/>
    <w:rsid w:val="00D05B31"/>
    <w:rsid w:val="00D0678C"/>
    <w:rsid w:val="00D07E9F"/>
    <w:rsid w:val="00D10C1A"/>
    <w:rsid w:val="00D11EAE"/>
    <w:rsid w:val="00D13714"/>
    <w:rsid w:val="00D138EB"/>
    <w:rsid w:val="00D13E16"/>
    <w:rsid w:val="00D142CC"/>
    <w:rsid w:val="00D1459F"/>
    <w:rsid w:val="00D15752"/>
    <w:rsid w:val="00D15DBF"/>
    <w:rsid w:val="00D15DD8"/>
    <w:rsid w:val="00D205DA"/>
    <w:rsid w:val="00D22A41"/>
    <w:rsid w:val="00D23149"/>
    <w:rsid w:val="00D23DC2"/>
    <w:rsid w:val="00D3086C"/>
    <w:rsid w:val="00D31486"/>
    <w:rsid w:val="00D31BC7"/>
    <w:rsid w:val="00D3429E"/>
    <w:rsid w:val="00D41DD7"/>
    <w:rsid w:val="00D42C71"/>
    <w:rsid w:val="00D430C7"/>
    <w:rsid w:val="00D45335"/>
    <w:rsid w:val="00D45D3A"/>
    <w:rsid w:val="00D472CA"/>
    <w:rsid w:val="00D52644"/>
    <w:rsid w:val="00D53572"/>
    <w:rsid w:val="00D53578"/>
    <w:rsid w:val="00D53A6E"/>
    <w:rsid w:val="00D55569"/>
    <w:rsid w:val="00D55879"/>
    <w:rsid w:val="00D55B9F"/>
    <w:rsid w:val="00D56108"/>
    <w:rsid w:val="00D56451"/>
    <w:rsid w:val="00D567EA"/>
    <w:rsid w:val="00D57985"/>
    <w:rsid w:val="00D57B3D"/>
    <w:rsid w:val="00D57D4F"/>
    <w:rsid w:val="00D605A2"/>
    <w:rsid w:val="00D60A06"/>
    <w:rsid w:val="00D63121"/>
    <w:rsid w:val="00D6519D"/>
    <w:rsid w:val="00D6570E"/>
    <w:rsid w:val="00D65823"/>
    <w:rsid w:val="00D6708A"/>
    <w:rsid w:val="00D7121D"/>
    <w:rsid w:val="00D7685A"/>
    <w:rsid w:val="00D76912"/>
    <w:rsid w:val="00D8007F"/>
    <w:rsid w:val="00D81EB4"/>
    <w:rsid w:val="00D82722"/>
    <w:rsid w:val="00D82C9E"/>
    <w:rsid w:val="00D82F7E"/>
    <w:rsid w:val="00D87BBE"/>
    <w:rsid w:val="00D9048C"/>
    <w:rsid w:val="00D91294"/>
    <w:rsid w:val="00D912CE"/>
    <w:rsid w:val="00D940B6"/>
    <w:rsid w:val="00D95A47"/>
    <w:rsid w:val="00D96EAB"/>
    <w:rsid w:val="00D96FB2"/>
    <w:rsid w:val="00D97F0F"/>
    <w:rsid w:val="00DA04CE"/>
    <w:rsid w:val="00DA1D3B"/>
    <w:rsid w:val="00DA2627"/>
    <w:rsid w:val="00DA36E3"/>
    <w:rsid w:val="00DA3F08"/>
    <w:rsid w:val="00DA47A5"/>
    <w:rsid w:val="00DA7CF5"/>
    <w:rsid w:val="00DB12D9"/>
    <w:rsid w:val="00DB1302"/>
    <w:rsid w:val="00DB2795"/>
    <w:rsid w:val="00DB3CAF"/>
    <w:rsid w:val="00DB4097"/>
    <w:rsid w:val="00DB43C8"/>
    <w:rsid w:val="00DB50A6"/>
    <w:rsid w:val="00DB5382"/>
    <w:rsid w:val="00DC0529"/>
    <w:rsid w:val="00DC10DB"/>
    <w:rsid w:val="00DC11F2"/>
    <w:rsid w:val="00DC15A6"/>
    <w:rsid w:val="00DC1600"/>
    <w:rsid w:val="00DC190D"/>
    <w:rsid w:val="00DC2470"/>
    <w:rsid w:val="00DC2A64"/>
    <w:rsid w:val="00DC2B8B"/>
    <w:rsid w:val="00DC3EB1"/>
    <w:rsid w:val="00DC5F2B"/>
    <w:rsid w:val="00DD04B4"/>
    <w:rsid w:val="00DD12A2"/>
    <w:rsid w:val="00DD183E"/>
    <w:rsid w:val="00DD27EE"/>
    <w:rsid w:val="00DD28A2"/>
    <w:rsid w:val="00DD293E"/>
    <w:rsid w:val="00DD3ED2"/>
    <w:rsid w:val="00DD5744"/>
    <w:rsid w:val="00DD6A82"/>
    <w:rsid w:val="00DE0D57"/>
    <w:rsid w:val="00DE18C2"/>
    <w:rsid w:val="00DE1A34"/>
    <w:rsid w:val="00DE27C2"/>
    <w:rsid w:val="00DE28A0"/>
    <w:rsid w:val="00DE2DE1"/>
    <w:rsid w:val="00DE5638"/>
    <w:rsid w:val="00DE5F42"/>
    <w:rsid w:val="00DE71EF"/>
    <w:rsid w:val="00DE7294"/>
    <w:rsid w:val="00DF06F5"/>
    <w:rsid w:val="00DF19A8"/>
    <w:rsid w:val="00DF1F96"/>
    <w:rsid w:val="00DF3014"/>
    <w:rsid w:val="00DF3272"/>
    <w:rsid w:val="00DF4C3C"/>
    <w:rsid w:val="00DF5598"/>
    <w:rsid w:val="00DF5652"/>
    <w:rsid w:val="00DF660F"/>
    <w:rsid w:val="00DF71E3"/>
    <w:rsid w:val="00DF7816"/>
    <w:rsid w:val="00E04220"/>
    <w:rsid w:val="00E05F5D"/>
    <w:rsid w:val="00E0729D"/>
    <w:rsid w:val="00E13BFB"/>
    <w:rsid w:val="00E17245"/>
    <w:rsid w:val="00E224DC"/>
    <w:rsid w:val="00E23963"/>
    <w:rsid w:val="00E23EC6"/>
    <w:rsid w:val="00E247F4"/>
    <w:rsid w:val="00E24C53"/>
    <w:rsid w:val="00E26786"/>
    <w:rsid w:val="00E26A1E"/>
    <w:rsid w:val="00E27367"/>
    <w:rsid w:val="00E31556"/>
    <w:rsid w:val="00E32971"/>
    <w:rsid w:val="00E338D9"/>
    <w:rsid w:val="00E340BD"/>
    <w:rsid w:val="00E3463B"/>
    <w:rsid w:val="00E37F20"/>
    <w:rsid w:val="00E40FE1"/>
    <w:rsid w:val="00E41D7A"/>
    <w:rsid w:val="00E4235C"/>
    <w:rsid w:val="00E42EF8"/>
    <w:rsid w:val="00E462CF"/>
    <w:rsid w:val="00E46373"/>
    <w:rsid w:val="00E47D54"/>
    <w:rsid w:val="00E47F48"/>
    <w:rsid w:val="00E513BF"/>
    <w:rsid w:val="00E52914"/>
    <w:rsid w:val="00E53292"/>
    <w:rsid w:val="00E53775"/>
    <w:rsid w:val="00E53BEF"/>
    <w:rsid w:val="00E53FBB"/>
    <w:rsid w:val="00E550C8"/>
    <w:rsid w:val="00E55894"/>
    <w:rsid w:val="00E5708F"/>
    <w:rsid w:val="00E57912"/>
    <w:rsid w:val="00E600B6"/>
    <w:rsid w:val="00E605A9"/>
    <w:rsid w:val="00E62220"/>
    <w:rsid w:val="00E62689"/>
    <w:rsid w:val="00E626A8"/>
    <w:rsid w:val="00E62A97"/>
    <w:rsid w:val="00E652AA"/>
    <w:rsid w:val="00E6534E"/>
    <w:rsid w:val="00E671A4"/>
    <w:rsid w:val="00E67CC3"/>
    <w:rsid w:val="00E72453"/>
    <w:rsid w:val="00E73E6F"/>
    <w:rsid w:val="00E7650D"/>
    <w:rsid w:val="00E815D9"/>
    <w:rsid w:val="00E829E5"/>
    <w:rsid w:val="00E8501A"/>
    <w:rsid w:val="00E857BD"/>
    <w:rsid w:val="00E85B2F"/>
    <w:rsid w:val="00E8615D"/>
    <w:rsid w:val="00E9130C"/>
    <w:rsid w:val="00E91C2A"/>
    <w:rsid w:val="00E94368"/>
    <w:rsid w:val="00E94756"/>
    <w:rsid w:val="00E94CCE"/>
    <w:rsid w:val="00E94E84"/>
    <w:rsid w:val="00E94FA4"/>
    <w:rsid w:val="00E95040"/>
    <w:rsid w:val="00E952AE"/>
    <w:rsid w:val="00E95CC5"/>
    <w:rsid w:val="00E95CED"/>
    <w:rsid w:val="00E97DAE"/>
    <w:rsid w:val="00EA021F"/>
    <w:rsid w:val="00EA078E"/>
    <w:rsid w:val="00EA0CC4"/>
    <w:rsid w:val="00EA0DC6"/>
    <w:rsid w:val="00EA1F17"/>
    <w:rsid w:val="00EA2676"/>
    <w:rsid w:val="00EA44D7"/>
    <w:rsid w:val="00EA4A2A"/>
    <w:rsid w:val="00EA4DE1"/>
    <w:rsid w:val="00EA60BD"/>
    <w:rsid w:val="00EA7121"/>
    <w:rsid w:val="00EA73F9"/>
    <w:rsid w:val="00EB0C00"/>
    <w:rsid w:val="00EB1931"/>
    <w:rsid w:val="00EB2ECE"/>
    <w:rsid w:val="00EB4B49"/>
    <w:rsid w:val="00EB5BE7"/>
    <w:rsid w:val="00EB60FA"/>
    <w:rsid w:val="00EB675D"/>
    <w:rsid w:val="00EB7219"/>
    <w:rsid w:val="00EC0722"/>
    <w:rsid w:val="00EC274C"/>
    <w:rsid w:val="00EC2804"/>
    <w:rsid w:val="00ED0C8E"/>
    <w:rsid w:val="00ED0F37"/>
    <w:rsid w:val="00ED1CBB"/>
    <w:rsid w:val="00ED40B4"/>
    <w:rsid w:val="00ED4E6B"/>
    <w:rsid w:val="00ED7496"/>
    <w:rsid w:val="00EE04D3"/>
    <w:rsid w:val="00EE1798"/>
    <w:rsid w:val="00EE311E"/>
    <w:rsid w:val="00EE3400"/>
    <w:rsid w:val="00EE38B8"/>
    <w:rsid w:val="00EE4861"/>
    <w:rsid w:val="00EE61AD"/>
    <w:rsid w:val="00EE651D"/>
    <w:rsid w:val="00EF110B"/>
    <w:rsid w:val="00EF25E2"/>
    <w:rsid w:val="00EF5652"/>
    <w:rsid w:val="00EF5DD6"/>
    <w:rsid w:val="00EF6209"/>
    <w:rsid w:val="00EF6618"/>
    <w:rsid w:val="00EF6936"/>
    <w:rsid w:val="00F005D0"/>
    <w:rsid w:val="00F02B04"/>
    <w:rsid w:val="00F0373C"/>
    <w:rsid w:val="00F03889"/>
    <w:rsid w:val="00F04600"/>
    <w:rsid w:val="00F04EA1"/>
    <w:rsid w:val="00F0591F"/>
    <w:rsid w:val="00F05B79"/>
    <w:rsid w:val="00F065F0"/>
    <w:rsid w:val="00F0701A"/>
    <w:rsid w:val="00F075EB"/>
    <w:rsid w:val="00F07809"/>
    <w:rsid w:val="00F07AFC"/>
    <w:rsid w:val="00F10445"/>
    <w:rsid w:val="00F13739"/>
    <w:rsid w:val="00F1774A"/>
    <w:rsid w:val="00F178CB"/>
    <w:rsid w:val="00F203B8"/>
    <w:rsid w:val="00F20D34"/>
    <w:rsid w:val="00F20EAC"/>
    <w:rsid w:val="00F2500F"/>
    <w:rsid w:val="00F2605C"/>
    <w:rsid w:val="00F264A1"/>
    <w:rsid w:val="00F2733E"/>
    <w:rsid w:val="00F316BF"/>
    <w:rsid w:val="00F31D21"/>
    <w:rsid w:val="00F336BA"/>
    <w:rsid w:val="00F34063"/>
    <w:rsid w:val="00F340A0"/>
    <w:rsid w:val="00F347E4"/>
    <w:rsid w:val="00F34B35"/>
    <w:rsid w:val="00F35EAE"/>
    <w:rsid w:val="00F363CA"/>
    <w:rsid w:val="00F36CA8"/>
    <w:rsid w:val="00F36CED"/>
    <w:rsid w:val="00F36E34"/>
    <w:rsid w:val="00F37373"/>
    <w:rsid w:val="00F37422"/>
    <w:rsid w:val="00F37842"/>
    <w:rsid w:val="00F4008A"/>
    <w:rsid w:val="00F42654"/>
    <w:rsid w:val="00F44689"/>
    <w:rsid w:val="00F462F6"/>
    <w:rsid w:val="00F51127"/>
    <w:rsid w:val="00F52592"/>
    <w:rsid w:val="00F53110"/>
    <w:rsid w:val="00F53889"/>
    <w:rsid w:val="00F53FE6"/>
    <w:rsid w:val="00F54624"/>
    <w:rsid w:val="00F5559D"/>
    <w:rsid w:val="00F55E74"/>
    <w:rsid w:val="00F56207"/>
    <w:rsid w:val="00F564A1"/>
    <w:rsid w:val="00F57629"/>
    <w:rsid w:val="00F6152A"/>
    <w:rsid w:val="00F625D3"/>
    <w:rsid w:val="00F628BE"/>
    <w:rsid w:val="00F632BB"/>
    <w:rsid w:val="00F6449B"/>
    <w:rsid w:val="00F66F3F"/>
    <w:rsid w:val="00F702B3"/>
    <w:rsid w:val="00F74823"/>
    <w:rsid w:val="00F749F1"/>
    <w:rsid w:val="00F76033"/>
    <w:rsid w:val="00F81CC3"/>
    <w:rsid w:val="00F81D2A"/>
    <w:rsid w:val="00F823B6"/>
    <w:rsid w:val="00F830AF"/>
    <w:rsid w:val="00F8414B"/>
    <w:rsid w:val="00F84F87"/>
    <w:rsid w:val="00F8524E"/>
    <w:rsid w:val="00F85C8D"/>
    <w:rsid w:val="00F86976"/>
    <w:rsid w:val="00F86FA9"/>
    <w:rsid w:val="00F91386"/>
    <w:rsid w:val="00F91D4E"/>
    <w:rsid w:val="00F97F74"/>
    <w:rsid w:val="00FA0B3D"/>
    <w:rsid w:val="00FA11B8"/>
    <w:rsid w:val="00FA1A28"/>
    <w:rsid w:val="00FA321F"/>
    <w:rsid w:val="00FA35E8"/>
    <w:rsid w:val="00FA3F7D"/>
    <w:rsid w:val="00FA4374"/>
    <w:rsid w:val="00FA4545"/>
    <w:rsid w:val="00FA546E"/>
    <w:rsid w:val="00FA63CF"/>
    <w:rsid w:val="00FA6B23"/>
    <w:rsid w:val="00FA6B79"/>
    <w:rsid w:val="00FA71AA"/>
    <w:rsid w:val="00FA735A"/>
    <w:rsid w:val="00FA788F"/>
    <w:rsid w:val="00FB205C"/>
    <w:rsid w:val="00FB21F4"/>
    <w:rsid w:val="00FB3107"/>
    <w:rsid w:val="00FB43E2"/>
    <w:rsid w:val="00FB4B23"/>
    <w:rsid w:val="00FB5D34"/>
    <w:rsid w:val="00FB6B60"/>
    <w:rsid w:val="00FB7911"/>
    <w:rsid w:val="00FB7CF4"/>
    <w:rsid w:val="00FC0710"/>
    <w:rsid w:val="00FC0BB5"/>
    <w:rsid w:val="00FC0D3C"/>
    <w:rsid w:val="00FC25A8"/>
    <w:rsid w:val="00FC2EF6"/>
    <w:rsid w:val="00FC3B5D"/>
    <w:rsid w:val="00FC4488"/>
    <w:rsid w:val="00FC50DB"/>
    <w:rsid w:val="00FC67E5"/>
    <w:rsid w:val="00FC6D76"/>
    <w:rsid w:val="00FC7712"/>
    <w:rsid w:val="00FD017D"/>
    <w:rsid w:val="00FD0A05"/>
    <w:rsid w:val="00FD182F"/>
    <w:rsid w:val="00FD1843"/>
    <w:rsid w:val="00FD1ED7"/>
    <w:rsid w:val="00FD2038"/>
    <w:rsid w:val="00FD247F"/>
    <w:rsid w:val="00FD4623"/>
    <w:rsid w:val="00FD5B5D"/>
    <w:rsid w:val="00FD6077"/>
    <w:rsid w:val="00FE0282"/>
    <w:rsid w:val="00FE1BBC"/>
    <w:rsid w:val="00FE25EB"/>
    <w:rsid w:val="00FE2D72"/>
    <w:rsid w:val="00FE3520"/>
    <w:rsid w:val="00FE4A19"/>
    <w:rsid w:val="00FE5B58"/>
    <w:rsid w:val="00FF45E1"/>
    <w:rsid w:val="00FF490B"/>
    <w:rsid w:val="00FF5FE7"/>
    <w:rsid w:val="00FF62A3"/>
    <w:rsid w:val="00FF64D6"/>
    <w:rsid w:val="00FF714D"/>
    <w:rsid w:val="00FF724B"/>
    <w:rsid w:val="00FF7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0333"/>
  <w15:chartTrackingRefBased/>
  <w15:docId w15:val="{CCD13141-094E-44E0-A83E-4D0599FA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E5F42"/>
    <w:pPr>
      <w:numPr>
        <w:numId w:val="2"/>
      </w:numPr>
      <w:spacing w:before="200" w:after="60" w:line="480" w:lineRule="exact"/>
      <w:outlineLvl w:val="0"/>
    </w:pPr>
    <w:rPr>
      <w:rFonts w:ascii="Arial" w:eastAsiaTheme="majorEastAsia" w:hAnsi="Arial" w:cstheme="majorBidi"/>
      <w:color w:val="02A4A6"/>
      <w:spacing w:val="-2"/>
      <w:sz w:val="44"/>
      <w:szCs w:val="48"/>
    </w:rPr>
  </w:style>
  <w:style w:type="paragraph" w:styleId="Heading2">
    <w:name w:val="heading 2"/>
    <w:basedOn w:val="Normal"/>
    <w:next w:val="Normal"/>
    <w:link w:val="Heading2Char"/>
    <w:autoRedefine/>
    <w:uiPriority w:val="9"/>
    <w:unhideWhenUsed/>
    <w:qFormat/>
    <w:rsid w:val="00E42EF8"/>
    <w:pPr>
      <w:numPr>
        <w:ilvl w:val="1"/>
        <w:numId w:val="2"/>
      </w:numPr>
      <w:spacing w:before="240" w:after="30" w:line="400" w:lineRule="exact"/>
      <w:outlineLvl w:val="1"/>
    </w:pPr>
    <w:rPr>
      <w:rFonts w:ascii="Arial" w:eastAsiaTheme="majorEastAsia" w:hAnsi="Arial" w:cstheme="majorBidi"/>
      <w:color w:val="44546A" w:themeColor="text2"/>
      <w:spacing w:val="-2"/>
      <w:sz w:val="28"/>
      <w:szCs w:val="32"/>
    </w:rPr>
  </w:style>
  <w:style w:type="paragraph" w:styleId="Heading3">
    <w:name w:val="heading 3"/>
    <w:basedOn w:val="Normal"/>
    <w:next w:val="Normal"/>
    <w:link w:val="Heading3Char"/>
    <w:autoRedefine/>
    <w:uiPriority w:val="9"/>
    <w:unhideWhenUsed/>
    <w:qFormat/>
    <w:rsid w:val="00E42EF8"/>
    <w:pPr>
      <w:numPr>
        <w:numId w:val="3"/>
      </w:numPr>
      <w:tabs>
        <w:tab w:val="num" w:pos="964"/>
      </w:tabs>
      <w:spacing w:before="330" w:after="40" w:line="260" w:lineRule="exact"/>
      <w:outlineLvl w:val="2"/>
    </w:pPr>
    <w:rPr>
      <w:rFonts w:ascii="Arial" w:eastAsiaTheme="majorEastAsia" w:hAnsi="Arial" w:cstheme="majorBidi"/>
      <w:color w:val="000000" w:themeColor="text1"/>
      <w:spacing w:val="-2"/>
      <w:sz w:val="24"/>
      <w:szCs w:val="28"/>
    </w:rPr>
  </w:style>
  <w:style w:type="paragraph" w:styleId="Heading5">
    <w:name w:val="heading 5"/>
    <w:basedOn w:val="Normal"/>
    <w:next w:val="Normal"/>
    <w:link w:val="Heading5Char"/>
    <w:uiPriority w:val="9"/>
    <w:semiHidden/>
    <w:unhideWhenUsed/>
    <w:qFormat/>
    <w:rsid w:val="003223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autoRedefine/>
    <w:uiPriority w:val="99"/>
    <w:qFormat/>
    <w:rsid w:val="00C665B5"/>
    <w:pPr>
      <w:spacing w:after="0" w:line="240" w:lineRule="auto"/>
    </w:pPr>
    <w:rPr>
      <w:rFonts w:ascii="Gill Sans MT" w:hAnsi="Gill Sans MT" w:cs="Arial"/>
      <w:spacing w:val="-2"/>
      <w:kern w:val="0"/>
      <w:sz w:val="20"/>
      <w14:ligatures w14:val="none"/>
    </w:rPr>
  </w:style>
  <w:style w:type="character" w:customStyle="1" w:styleId="Heading2Char">
    <w:name w:val="Heading 2 Char"/>
    <w:basedOn w:val="DefaultParagraphFont"/>
    <w:link w:val="Heading2"/>
    <w:uiPriority w:val="9"/>
    <w:rsid w:val="00DE5F42"/>
    <w:rPr>
      <w:rFonts w:ascii="Arial" w:eastAsiaTheme="majorEastAsia" w:hAnsi="Arial" w:cstheme="majorBidi"/>
      <w:color w:val="44546A" w:themeColor="text2"/>
      <w:spacing w:val="-2"/>
      <w:sz w:val="28"/>
      <w:szCs w:val="32"/>
    </w:rPr>
  </w:style>
  <w:style w:type="character" w:customStyle="1" w:styleId="Heading1Char">
    <w:name w:val="Heading 1 Char"/>
    <w:basedOn w:val="DefaultParagraphFont"/>
    <w:link w:val="Heading1"/>
    <w:uiPriority w:val="9"/>
    <w:rsid w:val="00DE5F42"/>
    <w:rPr>
      <w:rFonts w:ascii="Arial" w:eastAsiaTheme="majorEastAsia" w:hAnsi="Arial" w:cstheme="majorBidi"/>
      <w:color w:val="02A4A6"/>
      <w:spacing w:val="-2"/>
      <w:sz w:val="44"/>
      <w:szCs w:val="48"/>
    </w:rPr>
  </w:style>
  <w:style w:type="paragraph" w:styleId="ListParagraph">
    <w:name w:val="List Paragraph"/>
    <w:basedOn w:val="Normal"/>
    <w:autoRedefine/>
    <w:uiPriority w:val="34"/>
    <w:qFormat/>
    <w:rsid w:val="00DF3014"/>
    <w:pPr>
      <w:numPr>
        <w:numId w:val="36"/>
      </w:numPr>
      <w:spacing w:after="0" w:line="240" w:lineRule="auto"/>
      <w:contextualSpacing/>
    </w:pPr>
    <w:rPr>
      <w:rFonts w:ascii="Gill Sans MT" w:hAnsi="Gill Sans MT"/>
      <w:spacing w:val="-2"/>
      <w:kern w:val="0"/>
      <w:sz w:val="20"/>
      <w14:ligatures w14:val="none"/>
    </w:rPr>
  </w:style>
  <w:style w:type="paragraph" w:styleId="ListBullet">
    <w:name w:val="List Bullet"/>
    <w:basedOn w:val="Normal"/>
    <w:autoRedefine/>
    <w:uiPriority w:val="99"/>
    <w:unhideWhenUsed/>
    <w:qFormat/>
    <w:rsid w:val="0027003F"/>
    <w:pPr>
      <w:numPr>
        <w:numId w:val="1"/>
      </w:numPr>
      <w:spacing w:after="80"/>
    </w:pPr>
    <w:rPr>
      <w:rFonts w:ascii="Gill Sans MT" w:hAnsi="Gill Sans MT" w:cs="Arial"/>
      <w:spacing w:val="-2"/>
      <w:kern w:val="0"/>
      <w14:ligatures w14:val="none"/>
    </w:rPr>
  </w:style>
  <w:style w:type="character" w:customStyle="1" w:styleId="Heading3Char">
    <w:name w:val="Heading 3 Char"/>
    <w:basedOn w:val="DefaultParagraphFont"/>
    <w:link w:val="Heading3"/>
    <w:uiPriority w:val="9"/>
    <w:rsid w:val="00E42EF8"/>
    <w:rPr>
      <w:rFonts w:ascii="Arial" w:eastAsiaTheme="majorEastAsia" w:hAnsi="Arial" w:cstheme="majorBidi"/>
      <w:color w:val="000000" w:themeColor="text1"/>
      <w:spacing w:val="-2"/>
      <w:sz w:val="24"/>
      <w:szCs w:val="28"/>
    </w:rPr>
  </w:style>
  <w:style w:type="paragraph" w:customStyle="1" w:styleId="AHESubheadingstyle4">
    <w:name w:val="AHE Subheading style 4"/>
    <w:basedOn w:val="Normal"/>
    <w:autoRedefine/>
    <w:qFormat/>
    <w:rsid w:val="00E42EF8"/>
    <w:pPr>
      <w:spacing w:before="160" w:after="40" w:line="260" w:lineRule="exact"/>
      <w:ind w:left="1247" w:hanging="1247"/>
    </w:pPr>
    <w:rPr>
      <w:rFonts w:ascii="Arial" w:hAnsi="Arial"/>
      <w:i/>
      <w:spacing w:val="-2"/>
      <w:kern w:val="0"/>
      <w:sz w:val="24"/>
      <w14:ligatures w14:val="none"/>
    </w:rPr>
  </w:style>
  <w:style w:type="paragraph" w:styleId="Footer">
    <w:name w:val="footer"/>
    <w:basedOn w:val="Normal"/>
    <w:link w:val="FooterChar"/>
    <w:uiPriority w:val="99"/>
    <w:unhideWhenUsed/>
    <w:rsid w:val="00B11ABC"/>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B11ABC"/>
    <w:rPr>
      <w:kern w:val="0"/>
      <w14:ligatures w14:val="none"/>
    </w:rPr>
  </w:style>
  <w:style w:type="table" w:styleId="TableGrid">
    <w:name w:val="Table Grid"/>
    <w:basedOn w:val="TableNormal"/>
    <w:uiPriority w:val="39"/>
    <w:rsid w:val="00B11A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38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52B8A"/>
    <w:rPr>
      <w:color w:val="0563C1" w:themeColor="hyperlink"/>
      <w:u w:val="single"/>
    </w:rPr>
  </w:style>
  <w:style w:type="character" w:styleId="UnresolvedMention">
    <w:name w:val="Unresolved Mention"/>
    <w:basedOn w:val="DefaultParagraphFont"/>
    <w:uiPriority w:val="99"/>
    <w:semiHidden/>
    <w:unhideWhenUsed/>
    <w:rsid w:val="00952B8A"/>
    <w:rPr>
      <w:color w:val="605E5C"/>
      <w:shd w:val="clear" w:color="auto" w:fill="E1DFDD"/>
    </w:rPr>
  </w:style>
  <w:style w:type="paragraph" w:customStyle="1" w:styleId="Tasksetc">
    <w:name w:val="Tasks etc"/>
    <w:basedOn w:val="Heading3"/>
    <w:link w:val="TasksetcChar"/>
    <w:autoRedefine/>
    <w:qFormat/>
    <w:rsid w:val="009E4014"/>
    <w:pPr>
      <w:numPr>
        <w:numId w:val="4"/>
      </w:numPr>
    </w:pPr>
    <w:rPr>
      <w:sz w:val="22"/>
      <w:szCs w:val="24"/>
    </w:rPr>
  </w:style>
  <w:style w:type="character" w:customStyle="1" w:styleId="TasksetcChar">
    <w:name w:val="Tasks etc Char"/>
    <w:basedOn w:val="Heading3Char"/>
    <w:link w:val="Tasksetc"/>
    <w:rsid w:val="009E4014"/>
    <w:rPr>
      <w:rFonts w:ascii="Arial" w:eastAsiaTheme="majorEastAsia" w:hAnsi="Arial" w:cstheme="majorBidi"/>
      <w:color w:val="000000" w:themeColor="text1"/>
      <w:spacing w:val="-2"/>
      <w:sz w:val="24"/>
      <w:szCs w:val="24"/>
    </w:rPr>
  </w:style>
  <w:style w:type="character" w:styleId="FollowedHyperlink">
    <w:name w:val="FollowedHyperlink"/>
    <w:basedOn w:val="DefaultParagraphFont"/>
    <w:uiPriority w:val="99"/>
    <w:semiHidden/>
    <w:unhideWhenUsed/>
    <w:rsid w:val="00CB5167"/>
    <w:rPr>
      <w:color w:val="954F72" w:themeColor="followedHyperlink"/>
      <w:u w:val="single"/>
    </w:rPr>
  </w:style>
  <w:style w:type="paragraph" w:styleId="NoSpacing">
    <w:name w:val="No Spacing"/>
    <w:uiPriority w:val="1"/>
    <w:qFormat/>
    <w:rsid w:val="00B83C7F"/>
    <w:pPr>
      <w:spacing w:after="0" w:line="240" w:lineRule="auto"/>
    </w:pPr>
  </w:style>
  <w:style w:type="paragraph" w:styleId="Header">
    <w:name w:val="header"/>
    <w:basedOn w:val="Normal"/>
    <w:link w:val="HeaderChar"/>
    <w:uiPriority w:val="99"/>
    <w:unhideWhenUsed/>
    <w:rsid w:val="00535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336"/>
  </w:style>
  <w:style w:type="character" w:customStyle="1" w:styleId="Heading5Char">
    <w:name w:val="Heading 5 Char"/>
    <w:basedOn w:val="DefaultParagraphFont"/>
    <w:link w:val="Heading5"/>
    <w:uiPriority w:val="9"/>
    <w:semiHidden/>
    <w:rsid w:val="00322342"/>
    <w:rPr>
      <w:rFonts w:asciiTheme="majorHAnsi" w:eastAsiaTheme="majorEastAsia" w:hAnsiTheme="majorHAnsi" w:cstheme="majorBidi"/>
      <w:color w:val="2F5496" w:themeColor="accent1" w:themeShade="BF"/>
    </w:rPr>
  </w:style>
  <w:style w:type="paragraph" w:customStyle="1" w:styleId="Table">
    <w:name w:val="Table"/>
    <w:basedOn w:val="Normal"/>
    <w:link w:val="TableChar"/>
    <w:qFormat/>
    <w:rsid w:val="00717161"/>
    <w:pPr>
      <w:spacing w:after="40" w:line="240" w:lineRule="auto"/>
    </w:pPr>
    <w:rPr>
      <w:rFonts w:ascii="Gill Sans MT" w:hAnsi="Gill Sans MT"/>
      <w:color w:val="212121"/>
      <w:kern w:val="0"/>
      <w:sz w:val="20"/>
      <w:szCs w:val="30"/>
      <w:shd w:val="clear" w:color="auto" w:fill="FFFFFF"/>
      <w14:ligatures w14:val="none"/>
    </w:rPr>
  </w:style>
  <w:style w:type="character" w:customStyle="1" w:styleId="TableChar">
    <w:name w:val="Table Char"/>
    <w:basedOn w:val="DefaultParagraphFont"/>
    <w:link w:val="Table"/>
    <w:rsid w:val="00717161"/>
    <w:rPr>
      <w:rFonts w:ascii="Gill Sans MT" w:hAnsi="Gill Sans MT"/>
      <w:color w:val="212121"/>
      <w:kern w:val="0"/>
      <w:sz w:val="20"/>
      <w:szCs w:val="30"/>
      <w14:ligatures w14:val="none"/>
    </w:rPr>
  </w:style>
  <w:style w:type="character" w:styleId="FootnoteReference">
    <w:name w:val="footnote reference"/>
    <w:basedOn w:val="DefaultParagraphFont"/>
    <w:uiPriority w:val="99"/>
    <w:semiHidden/>
    <w:unhideWhenUsed/>
    <w:rsid w:val="003A2390"/>
    <w:rPr>
      <w:vertAlign w:val="superscript"/>
    </w:rPr>
  </w:style>
  <w:style w:type="paragraph" w:styleId="FootnoteText">
    <w:name w:val="footnote text"/>
    <w:basedOn w:val="Normal"/>
    <w:link w:val="FootnoteTextChar"/>
    <w:uiPriority w:val="99"/>
    <w:semiHidden/>
    <w:unhideWhenUsed/>
    <w:rsid w:val="00C93B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3B2F"/>
    <w:rPr>
      <w:sz w:val="20"/>
      <w:szCs w:val="20"/>
    </w:rPr>
  </w:style>
  <w:style w:type="paragraph" w:styleId="Revision">
    <w:name w:val="Revision"/>
    <w:hidden/>
    <w:uiPriority w:val="99"/>
    <w:semiHidden/>
    <w:rsid w:val="00387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012">
      <w:bodyDiv w:val="1"/>
      <w:marLeft w:val="0"/>
      <w:marRight w:val="0"/>
      <w:marTop w:val="0"/>
      <w:marBottom w:val="0"/>
      <w:divBdr>
        <w:top w:val="none" w:sz="0" w:space="0" w:color="auto"/>
        <w:left w:val="none" w:sz="0" w:space="0" w:color="auto"/>
        <w:bottom w:val="none" w:sz="0" w:space="0" w:color="auto"/>
        <w:right w:val="none" w:sz="0" w:space="0" w:color="auto"/>
      </w:divBdr>
    </w:div>
    <w:div w:id="79645727">
      <w:bodyDiv w:val="1"/>
      <w:marLeft w:val="0"/>
      <w:marRight w:val="0"/>
      <w:marTop w:val="0"/>
      <w:marBottom w:val="0"/>
      <w:divBdr>
        <w:top w:val="none" w:sz="0" w:space="0" w:color="auto"/>
        <w:left w:val="none" w:sz="0" w:space="0" w:color="auto"/>
        <w:bottom w:val="none" w:sz="0" w:space="0" w:color="auto"/>
        <w:right w:val="none" w:sz="0" w:space="0" w:color="auto"/>
      </w:divBdr>
    </w:div>
    <w:div w:id="98910326">
      <w:bodyDiv w:val="1"/>
      <w:marLeft w:val="0"/>
      <w:marRight w:val="0"/>
      <w:marTop w:val="0"/>
      <w:marBottom w:val="0"/>
      <w:divBdr>
        <w:top w:val="none" w:sz="0" w:space="0" w:color="auto"/>
        <w:left w:val="none" w:sz="0" w:space="0" w:color="auto"/>
        <w:bottom w:val="none" w:sz="0" w:space="0" w:color="auto"/>
        <w:right w:val="none" w:sz="0" w:space="0" w:color="auto"/>
      </w:divBdr>
    </w:div>
    <w:div w:id="121847181">
      <w:bodyDiv w:val="1"/>
      <w:marLeft w:val="0"/>
      <w:marRight w:val="0"/>
      <w:marTop w:val="0"/>
      <w:marBottom w:val="0"/>
      <w:divBdr>
        <w:top w:val="none" w:sz="0" w:space="0" w:color="auto"/>
        <w:left w:val="none" w:sz="0" w:space="0" w:color="auto"/>
        <w:bottom w:val="none" w:sz="0" w:space="0" w:color="auto"/>
        <w:right w:val="none" w:sz="0" w:space="0" w:color="auto"/>
      </w:divBdr>
    </w:div>
    <w:div w:id="181747421">
      <w:bodyDiv w:val="1"/>
      <w:marLeft w:val="0"/>
      <w:marRight w:val="0"/>
      <w:marTop w:val="0"/>
      <w:marBottom w:val="0"/>
      <w:divBdr>
        <w:top w:val="none" w:sz="0" w:space="0" w:color="auto"/>
        <w:left w:val="none" w:sz="0" w:space="0" w:color="auto"/>
        <w:bottom w:val="none" w:sz="0" w:space="0" w:color="auto"/>
        <w:right w:val="none" w:sz="0" w:space="0" w:color="auto"/>
      </w:divBdr>
      <w:divsChild>
        <w:div w:id="1998069574">
          <w:marLeft w:val="0"/>
          <w:marRight w:val="0"/>
          <w:marTop w:val="0"/>
          <w:marBottom w:val="0"/>
          <w:divBdr>
            <w:top w:val="none" w:sz="0" w:space="0" w:color="auto"/>
            <w:left w:val="none" w:sz="0" w:space="0" w:color="auto"/>
            <w:bottom w:val="none" w:sz="0" w:space="0" w:color="auto"/>
            <w:right w:val="none" w:sz="0" w:space="0" w:color="auto"/>
          </w:divBdr>
        </w:div>
        <w:div w:id="1180856191">
          <w:marLeft w:val="0"/>
          <w:marRight w:val="0"/>
          <w:marTop w:val="750"/>
          <w:marBottom w:val="750"/>
          <w:divBdr>
            <w:top w:val="none" w:sz="0" w:space="0" w:color="auto"/>
            <w:left w:val="none" w:sz="0" w:space="0" w:color="auto"/>
            <w:bottom w:val="none" w:sz="0" w:space="0" w:color="auto"/>
            <w:right w:val="none" w:sz="0" w:space="0" w:color="auto"/>
          </w:divBdr>
          <w:divsChild>
            <w:div w:id="14930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8052">
      <w:bodyDiv w:val="1"/>
      <w:marLeft w:val="0"/>
      <w:marRight w:val="0"/>
      <w:marTop w:val="0"/>
      <w:marBottom w:val="0"/>
      <w:divBdr>
        <w:top w:val="none" w:sz="0" w:space="0" w:color="auto"/>
        <w:left w:val="none" w:sz="0" w:space="0" w:color="auto"/>
        <w:bottom w:val="none" w:sz="0" w:space="0" w:color="auto"/>
        <w:right w:val="none" w:sz="0" w:space="0" w:color="auto"/>
      </w:divBdr>
    </w:div>
    <w:div w:id="365061658">
      <w:bodyDiv w:val="1"/>
      <w:marLeft w:val="0"/>
      <w:marRight w:val="0"/>
      <w:marTop w:val="0"/>
      <w:marBottom w:val="0"/>
      <w:divBdr>
        <w:top w:val="none" w:sz="0" w:space="0" w:color="auto"/>
        <w:left w:val="none" w:sz="0" w:space="0" w:color="auto"/>
        <w:bottom w:val="none" w:sz="0" w:space="0" w:color="auto"/>
        <w:right w:val="none" w:sz="0" w:space="0" w:color="auto"/>
      </w:divBdr>
      <w:divsChild>
        <w:div w:id="2101947603">
          <w:marLeft w:val="0"/>
          <w:marRight w:val="0"/>
          <w:marTop w:val="0"/>
          <w:marBottom w:val="0"/>
          <w:divBdr>
            <w:top w:val="none" w:sz="0" w:space="0" w:color="auto"/>
            <w:left w:val="none" w:sz="0" w:space="0" w:color="auto"/>
            <w:bottom w:val="none" w:sz="0" w:space="0" w:color="auto"/>
            <w:right w:val="none" w:sz="0" w:space="0" w:color="auto"/>
          </w:divBdr>
        </w:div>
        <w:div w:id="538975848">
          <w:marLeft w:val="0"/>
          <w:marRight w:val="0"/>
          <w:marTop w:val="750"/>
          <w:marBottom w:val="750"/>
          <w:divBdr>
            <w:top w:val="none" w:sz="0" w:space="0" w:color="auto"/>
            <w:left w:val="none" w:sz="0" w:space="0" w:color="auto"/>
            <w:bottom w:val="none" w:sz="0" w:space="0" w:color="auto"/>
            <w:right w:val="none" w:sz="0" w:space="0" w:color="auto"/>
          </w:divBdr>
          <w:divsChild>
            <w:div w:id="13383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3431">
      <w:bodyDiv w:val="1"/>
      <w:marLeft w:val="0"/>
      <w:marRight w:val="0"/>
      <w:marTop w:val="0"/>
      <w:marBottom w:val="0"/>
      <w:divBdr>
        <w:top w:val="none" w:sz="0" w:space="0" w:color="auto"/>
        <w:left w:val="none" w:sz="0" w:space="0" w:color="auto"/>
        <w:bottom w:val="none" w:sz="0" w:space="0" w:color="auto"/>
        <w:right w:val="none" w:sz="0" w:space="0" w:color="auto"/>
      </w:divBdr>
    </w:div>
    <w:div w:id="459036403">
      <w:bodyDiv w:val="1"/>
      <w:marLeft w:val="0"/>
      <w:marRight w:val="0"/>
      <w:marTop w:val="0"/>
      <w:marBottom w:val="0"/>
      <w:divBdr>
        <w:top w:val="none" w:sz="0" w:space="0" w:color="auto"/>
        <w:left w:val="none" w:sz="0" w:space="0" w:color="auto"/>
        <w:bottom w:val="none" w:sz="0" w:space="0" w:color="auto"/>
        <w:right w:val="none" w:sz="0" w:space="0" w:color="auto"/>
      </w:divBdr>
    </w:div>
    <w:div w:id="605356898">
      <w:bodyDiv w:val="1"/>
      <w:marLeft w:val="0"/>
      <w:marRight w:val="0"/>
      <w:marTop w:val="0"/>
      <w:marBottom w:val="0"/>
      <w:divBdr>
        <w:top w:val="none" w:sz="0" w:space="0" w:color="auto"/>
        <w:left w:val="none" w:sz="0" w:space="0" w:color="auto"/>
        <w:bottom w:val="none" w:sz="0" w:space="0" w:color="auto"/>
        <w:right w:val="none" w:sz="0" w:space="0" w:color="auto"/>
      </w:divBdr>
    </w:div>
    <w:div w:id="633609264">
      <w:bodyDiv w:val="1"/>
      <w:marLeft w:val="0"/>
      <w:marRight w:val="0"/>
      <w:marTop w:val="0"/>
      <w:marBottom w:val="0"/>
      <w:divBdr>
        <w:top w:val="none" w:sz="0" w:space="0" w:color="auto"/>
        <w:left w:val="none" w:sz="0" w:space="0" w:color="auto"/>
        <w:bottom w:val="none" w:sz="0" w:space="0" w:color="auto"/>
        <w:right w:val="none" w:sz="0" w:space="0" w:color="auto"/>
      </w:divBdr>
      <w:divsChild>
        <w:div w:id="535436336">
          <w:marLeft w:val="0"/>
          <w:marRight w:val="0"/>
          <w:marTop w:val="0"/>
          <w:marBottom w:val="0"/>
          <w:divBdr>
            <w:top w:val="none" w:sz="0" w:space="0" w:color="auto"/>
            <w:left w:val="none" w:sz="0" w:space="0" w:color="auto"/>
            <w:bottom w:val="none" w:sz="0" w:space="0" w:color="auto"/>
            <w:right w:val="none" w:sz="0" w:space="0" w:color="auto"/>
          </w:divBdr>
        </w:div>
        <w:div w:id="1003628788">
          <w:marLeft w:val="0"/>
          <w:marRight w:val="0"/>
          <w:marTop w:val="750"/>
          <w:marBottom w:val="750"/>
          <w:divBdr>
            <w:top w:val="none" w:sz="0" w:space="0" w:color="auto"/>
            <w:left w:val="none" w:sz="0" w:space="0" w:color="auto"/>
            <w:bottom w:val="none" w:sz="0" w:space="0" w:color="auto"/>
            <w:right w:val="none" w:sz="0" w:space="0" w:color="auto"/>
          </w:divBdr>
          <w:divsChild>
            <w:div w:id="1795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38163">
      <w:bodyDiv w:val="1"/>
      <w:marLeft w:val="0"/>
      <w:marRight w:val="0"/>
      <w:marTop w:val="0"/>
      <w:marBottom w:val="0"/>
      <w:divBdr>
        <w:top w:val="none" w:sz="0" w:space="0" w:color="auto"/>
        <w:left w:val="none" w:sz="0" w:space="0" w:color="auto"/>
        <w:bottom w:val="none" w:sz="0" w:space="0" w:color="auto"/>
        <w:right w:val="none" w:sz="0" w:space="0" w:color="auto"/>
      </w:divBdr>
    </w:div>
    <w:div w:id="899634616">
      <w:bodyDiv w:val="1"/>
      <w:marLeft w:val="0"/>
      <w:marRight w:val="0"/>
      <w:marTop w:val="0"/>
      <w:marBottom w:val="0"/>
      <w:divBdr>
        <w:top w:val="none" w:sz="0" w:space="0" w:color="auto"/>
        <w:left w:val="none" w:sz="0" w:space="0" w:color="auto"/>
        <w:bottom w:val="none" w:sz="0" w:space="0" w:color="auto"/>
        <w:right w:val="none" w:sz="0" w:space="0" w:color="auto"/>
      </w:divBdr>
    </w:div>
    <w:div w:id="1114639705">
      <w:bodyDiv w:val="1"/>
      <w:marLeft w:val="0"/>
      <w:marRight w:val="0"/>
      <w:marTop w:val="0"/>
      <w:marBottom w:val="0"/>
      <w:divBdr>
        <w:top w:val="none" w:sz="0" w:space="0" w:color="auto"/>
        <w:left w:val="none" w:sz="0" w:space="0" w:color="auto"/>
        <w:bottom w:val="none" w:sz="0" w:space="0" w:color="auto"/>
        <w:right w:val="none" w:sz="0" w:space="0" w:color="auto"/>
      </w:divBdr>
    </w:div>
    <w:div w:id="1451196036">
      <w:bodyDiv w:val="1"/>
      <w:marLeft w:val="0"/>
      <w:marRight w:val="0"/>
      <w:marTop w:val="0"/>
      <w:marBottom w:val="0"/>
      <w:divBdr>
        <w:top w:val="none" w:sz="0" w:space="0" w:color="auto"/>
        <w:left w:val="none" w:sz="0" w:space="0" w:color="auto"/>
        <w:bottom w:val="none" w:sz="0" w:space="0" w:color="auto"/>
        <w:right w:val="none" w:sz="0" w:space="0" w:color="auto"/>
      </w:divBdr>
    </w:div>
    <w:div w:id="1509711865">
      <w:bodyDiv w:val="1"/>
      <w:marLeft w:val="0"/>
      <w:marRight w:val="0"/>
      <w:marTop w:val="0"/>
      <w:marBottom w:val="0"/>
      <w:divBdr>
        <w:top w:val="none" w:sz="0" w:space="0" w:color="auto"/>
        <w:left w:val="none" w:sz="0" w:space="0" w:color="auto"/>
        <w:bottom w:val="none" w:sz="0" w:space="0" w:color="auto"/>
        <w:right w:val="none" w:sz="0" w:space="0" w:color="auto"/>
      </w:divBdr>
    </w:div>
    <w:div w:id="1607342919">
      <w:bodyDiv w:val="1"/>
      <w:marLeft w:val="0"/>
      <w:marRight w:val="0"/>
      <w:marTop w:val="0"/>
      <w:marBottom w:val="0"/>
      <w:divBdr>
        <w:top w:val="none" w:sz="0" w:space="0" w:color="auto"/>
        <w:left w:val="none" w:sz="0" w:space="0" w:color="auto"/>
        <w:bottom w:val="none" w:sz="0" w:space="0" w:color="auto"/>
        <w:right w:val="none" w:sz="0" w:space="0" w:color="auto"/>
      </w:divBdr>
    </w:div>
    <w:div w:id="1741828758">
      <w:bodyDiv w:val="1"/>
      <w:marLeft w:val="0"/>
      <w:marRight w:val="0"/>
      <w:marTop w:val="0"/>
      <w:marBottom w:val="0"/>
      <w:divBdr>
        <w:top w:val="none" w:sz="0" w:space="0" w:color="auto"/>
        <w:left w:val="none" w:sz="0" w:space="0" w:color="auto"/>
        <w:bottom w:val="none" w:sz="0" w:space="0" w:color="auto"/>
        <w:right w:val="none" w:sz="0" w:space="0" w:color="auto"/>
      </w:divBdr>
    </w:div>
    <w:div w:id="1982421122">
      <w:bodyDiv w:val="1"/>
      <w:marLeft w:val="0"/>
      <w:marRight w:val="0"/>
      <w:marTop w:val="0"/>
      <w:marBottom w:val="0"/>
      <w:divBdr>
        <w:top w:val="none" w:sz="0" w:space="0" w:color="auto"/>
        <w:left w:val="none" w:sz="0" w:space="0" w:color="auto"/>
        <w:bottom w:val="none" w:sz="0" w:space="0" w:color="auto"/>
        <w:right w:val="none" w:sz="0" w:space="0" w:color="auto"/>
      </w:divBdr>
    </w:div>
    <w:div w:id="211301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erupi.co.uk/members/resources/nerupi-approach-to-evaluation" TargetMode="External"/><Relationship Id="rId26" Type="http://schemas.openxmlformats.org/officeDocument/2006/relationships/hyperlink" Target="https://www.nerupi.co.uk/members/resources/more-on-monitoring" TargetMode="External"/><Relationship Id="rId39" Type="http://schemas.openxmlformats.org/officeDocument/2006/relationships/hyperlink" Target="https://www.nerupi.co.uk/members/resources/triangulation" TargetMode="External"/><Relationship Id="rId21" Type="http://schemas.openxmlformats.org/officeDocument/2006/relationships/hyperlink" Target="https://www.officeforstudents.org.uk/publications/standards-of-evidence-and-evaluating-impact-of-outreach/" TargetMode="External"/><Relationship Id="rId34" Type="http://schemas.openxmlformats.org/officeDocument/2006/relationships/hyperlink" Target="https://taso.org.uk/evidence/research-ethics-guidance/the-research-ethics-guidance-document/" TargetMode="External"/><Relationship Id="rId42" Type="http://schemas.openxmlformats.org/officeDocument/2006/relationships/hyperlink" Target="https://www.nerupi.co.uk/members/resources/research-and-evaluation-method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www.nerupi.co.uk/members/resources/more-on-process-evalu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rupi.co.uk" TargetMode="External"/><Relationship Id="rId24" Type="http://schemas.openxmlformats.org/officeDocument/2006/relationships/hyperlink" Target="https://www.nerupi.co.uk/members/toolkit/basics/theory-of-change" TargetMode="External"/><Relationship Id="rId32" Type="http://schemas.openxmlformats.org/officeDocument/2006/relationships/hyperlink" Target="https://www.nerupi.co.uk/admin/entries/resources/5405-research-and-evaluation-methods" TargetMode="External"/><Relationship Id="rId37" Type="http://schemas.openxmlformats.org/officeDocument/2006/relationships/hyperlink" Target="https://www.nerupi.co.uk/members/resources/more-on-analysing-quantitative-data" TargetMode="External"/><Relationship Id="rId40" Type="http://schemas.openxmlformats.org/officeDocument/2006/relationships/hyperlink" Target="https://www.nerupi.co.uk/members/resources/triangulatio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erupi.co.uk/members/toolkit/planning" TargetMode="External"/><Relationship Id="rId23" Type="http://schemas.openxmlformats.org/officeDocument/2006/relationships/hyperlink" Target="https://www.nerupi.co.uk/members/resources/strengthening-the-evidence-base" TargetMode="External"/><Relationship Id="rId28" Type="http://schemas.openxmlformats.org/officeDocument/2006/relationships/hyperlink" Target="https://www.nerupi.co.uk/members/resources/research-and-evaluation-methods" TargetMode="External"/><Relationship Id="rId36" Type="http://schemas.openxmlformats.org/officeDocument/2006/relationships/hyperlink" Target="https://www.nerupi.co.uk/members/resources/analysing-qualitative-data" TargetMode="External"/><Relationship Id="rId10" Type="http://schemas.openxmlformats.org/officeDocument/2006/relationships/hyperlink" Target="https://www.nerupi.co.uk/members/toolkit/basics/communities-of-praxis" TargetMode="External"/><Relationship Id="rId19" Type="http://schemas.openxmlformats.org/officeDocument/2006/relationships/hyperlink" Target="https://www.nerupi.co.uk/members/resources/ofs-evaluation-self-assessment-tool" TargetMode="External"/><Relationship Id="rId31" Type="http://schemas.openxmlformats.org/officeDocument/2006/relationships/hyperlink" Target="https://www.nerupi.co.uk/admin/entries/resources/5405-research-and-evaluation-method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erupi.co.uk/members/toolkit/context/exploring-inequalities-2" TargetMode="External"/><Relationship Id="rId22" Type="http://schemas.openxmlformats.org/officeDocument/2006/relationships/hyperlink" Target="https://www.nerupi.co.uk/members/events" TargetMode="External"/><Relationship Id="rId27" Type="http://schemas.openxmlformats.org/officeDocument/2006/relationships/hyperlink" Target="https://www.nerupi.co.uk/members/resources/research-and-evaluation-methods" TargetMode="External"/><Relationship Id="rId30" Type="http://schemas.openxmlformats.org/officeDocument/2006/relationships/hyperlink" Target="https://www.nerupi.co.uk/members/resources/evaluability-of-the-theory-of-change-toc" TargetMode="External"/><Relationship Id="rId35" Type="http://schemas.openxmlformats.org/officeDocument/2006/relationships/hyperlink" Target="https://www.nerupi.co.uk/members/resources/more-on-evaluation-planning" TargetMode="External"/><Relationship Id="rId43" Type="http://schemas.openxmlformats.org/officeDocument/2006/relationships/header" Target="header3.xml"/><Relationship Id="rId8" Type="http://schemas.openxmlformats.org/officeDocument/2006/relationships/hyperlink" Target="https://www.nerupi.co.uk/members/toolkit/evaluation"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nerupi.co.uk/members/toolkit/basics" TargetMode="External"/><Relationship Id="rId25" Type="http://schemas.openxmlformats.org/officeDocument/2006/relationships/hyperlink" Target="https://www.nerupi.co.uk/members/resources/evaluability-of-the-theory-of-change-toc" TargetMode="External"/><Relationship Id="rId33" Type="http://schemas.openxmlformats.org/officeDocument/2006/relationships/hyperlink" Target="https://www.nerupi.co.uk/members/resources/research-and-evaluation-methods" TargetMode="External"/><Relationship Id="rId38" Type="http://schemas.openxmlformats.org/officeDocument/2006/relationships/hyperlink" Target="https://www.nerupi.co.uk/members/resources/research-and-evaluation-methods" TargetMode="External"/><Relationship Id="rId20" Type="http://schemas.openxmlformats.org/officeDocument/2006/relationships/hyperlink" Target="https://www.nerupi.co.uk/members/resources/research-and-evaluation-methods" TargetMode="External"/><Relationship Id="rId41" Type="http://schemas.openxmlformats.org/officeDocument/2006/relationships/hyperlink" Target="https://www.nerupi.co.uk/members/resources/evaluation-report-templ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B04D3-6B28-4EA9-A791-0BD6C7ED187F}">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7198</Words>
  <Characters>41031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Moore</dc:creator>
  <cp:keywords/>
  <dc:description/>
  <cp:lastModifiedBy>Joanne Moore</cp:lastModifiedBy>
  <cp:revision>2</cp:revision>
  <dcterms:created xsi:type="dcterms:W3CDTF">2024-12-17T19:41:00Z</dcterms:created>
  <dcterms:modified xsi:type="dcterms:W3CDTF">2024-12-17T19:41:00Z</dcterms:modified>
</cp:coreProperties>
</file>