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C6C77" w14:textId="4CEDD712" w:rsidR="007F7A41" w:rsidRDefault="00C46A5E" w:rsidP="004A0DC1">
      <w:pPr>
        <w:rPr>
          <w:rFonts w:ascii="Calibri" w:hAnsi="Calibri"/>
          <w:b/>
          <w:sz w:val="28"/>
          <w:szCs w:val="32"/>
        </w:rPr>
      </w:pPr>
      <w:r w:rsidRPr="002D2237">
        <w:rPr>
          <w:rFonts w:ascii="Calibri" w:hAnsi="Calibri"/>
          <w:b/>
          <w:noProof/>
          <w:sz w:val="28"/>
          <w:lang w:eastAsia="en-GB"/>
        </w:rPr>
        <w:drawing>
          <wp:inline distT="0" distB="0" distL="0" distR="0" wp14:anchorId="1A7563B8" wp14:editId="247F5347">
            <wp:extent cx="1943100" cy="611780"/>
            <wp:effectExtent l="0" t="0" r="0" b="0"/>
            <wp:docPr id="950891240" name="Picture 950891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8937" cy="623063"/>
                    </a:xfrm>
                    <a:prstGeom prst="rect">
                      <a:avLst/>
                    </a:prstGeom>
                    <a:noFill/>
                    <a:ln>
                      <a:noFill/>
                    </a:ln>
                  </pic:spPr>
                </pic:pic>
              </a:graphicData>
            </a:graphic>
          </wp:inline>
        </w:drawing>
      </w:r>
      <w:r w:rsidR="00B65E7D">
        <w:rPr>
          <w:rFonts w:ascii="Calibri" w:hAnsi="Calibri"/>
          <w:b/>
          <w:sz w:val="28"/>
          <w:szCs w:val="32"/>
        </w:rPr>
        <w:tab/>
      </w:r>
      <w:r w:rsidR="00B65E7D">
        <w:rPr>
          <w:rFonts w:ascii="Calibri" w:hAnsi="Calibri"/>
          <w:b/>
          <w:sz w:val="28"/>
          <w:szCs w:val="32"/>
        </w:rPr>
        <w:tab/>
      </w:r>
      <w:r w:rsidR="00B65E7D">
        <w:rPr>
          <w:rFonts w:ascii="Calibri" w:hAnsi="Calibri"/>
          <w:b/>
          <w:sz w:val="28"/>
          <w:szCs w:val="32"/>
        </w:rPr>
        <w:tab/>
      </w:r>
      <w:r w:rsidR="00B65E7D">
        <w:rPr>
          <w:rFonts w:ascii="Calibri" w:hAnsi="Calibri"/>
          <w:b/>
          <w:sz w:val="28"/>
          <w:szCs w:val="32"/>
        </w:rPr>
        <w:tab/>
      </w:r>
      <w:r w:rsidR="00B65E7D" w:rsidRPr="00AD4136">
        <w:rPr>
          <w:rFonts w:ascii="Calibri" w:hAnsi="Calibri" w:cs="Arial"/>
          <w:noProof/>
          <w:color w:val="2B579A"/>
          <w:sz w:val="21"/>
          <w:szCs w:val="21"/>
          <w:shd w:val="clear" w:color="auto" w:fill="E6E6E6"/>
        </w:rPr>
        <w:drawing>
          <wp:inline distT="0" distB="0" distL="0" distR="0" wp14:anchorId="0A661AE9" wp14:editId="0A23093B">
            <wp:extent cx="1677879" cy="685800"/>
            <wp:effectExtent l="0" t="0" r="0" b="0"/>
            <wp:docPr id="2" name="Picture 2" descr="uob-log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ob-logo-bl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5018" cy="705067"/>
                    </a:xfrm>
                    <a:prstGeom prst="rect">
                      <a:avLst/>
                    </a:prstGeom>
                    <a:noFill/>
                    <a:ln>
                      <a:noFill/>
                    </a:ln>
                  </pic:spPr>
                </pic:pic>
              </a:graphicData>
            </a:graphic>
          </wp:inline>
        </w:drawing>
      </w:r>
      <w:r w:rsidR="00B65E7D">
        <w:rPr>
          <w:rFonts w:ascii="Calibri" w:hAnsi="Calibri"/>
          <w:b/>
          <w:sz w:val="28"/>
          <w:szCs w:val="32"/>
        </w:rPr>
        <w:tab/>
      </w:r>
    </w:p>
    <w:p w14:paraId="0A423C31" w14:textId="77777777" w:rsidR="007F7A41" w:rsidRDefault="007F7A41" w:rsidP="004A0DC1">
      <w:pPr>
        <w:rPr>
          <w:rFonts w:ascii="Calibri" w:hAnsi="Calibri"/>
          <w:b/>
          <w:sz w:val="28"/>
          <w:szCs w:val="32"/>
        </w:rPr>
      </w:pPr>
    </w:p>
    <w:p w14:paraId="1F86B57F" w14:textId="77777777" w:rsidR="0097509B" w:rsidRDefault="0097509B" w:rsidP="00A13343">
      <w:pPr>
        <w:rPr>
          <w:b/>
          <w:bCs/>
          <w:sz w:val="24"/>
          <w:szCs w:val="28"/>
        </w:rPr>
      </w:pPr>
    </w:p>
    <w:p w14:paraId="6E505C7C" w14:textId="77777777" w:rsidR="0097509B" w:rsidRDefault="0097509B" w:rsidP="007F7A41">
      <w:pPr>
        <w:jc w:val="center"/>
        <w:rPr>
          <w:b/>
          <w:bCs/>
          <w:sz w:val="24"/>
          <w:szCs w:val="28"/>
        </w:rPr>
      </w:pPr>
    </w:p>
    <w:p w14:paraId="6E882B49" w14:textId="4B6936AC" w:rsidR="007F7A41" w:rsidRPr="00665968" w:rsidRDefault="004A0DC1" w:rsidP="003474CC">
      <w:pPr>
        <w:jc w:val="center"/>
        <w:rPr>
          <w:b/>
          <w:bCs/>
          <w:sz w:val="28"/>
          <w:szCs w:val="32"/>
        </w:rPr>
      </w:pPr>
      <w:r w:rsidRPr="00665968">
        <w:rPr>
          <w:b/>
          <w:bCs/>
          <w:sz w:val="28"/>
          <w:szCs w:val="32"/>
        </w:rPr>
        <w:t>Policy Support Fund (PSF) 2024-25 funded project: Feasibility of enhancements to the Office for Students (</w:t>
      </w:r>
      <w:proofErr w:type="spellStart"/>
      <w:r w:rsidRPr="00665968">
        <w:rPr>
          <w:b/>
          <w:bCs/>
          <w:sz w:val="28"/>
          <w:szCs w:val="32"/>
        </w:rPr>
        <w:t>OfS</w:t>
      </w:r>
      <w:proofErr w:type="spellEnd"/>
      <w:r w:rsidRPr="00665968">
        <w:rPr>
          <w:b/>
          <w:bCs/>
          <w:sz w:val="28"/>
          <w:szCs w:val="32"/>
        </w:rPr>
        <w:t>) Standards of Evaluation Evidence for Access and Participation Plans</w:t>
      </w:r>
    </w:p>
    <w:p w14:paraId="3847C1BA" w14:textId="77777777" w:rsidR="0097509B" w:rsidRPr="00665968" w:rsidRDefault="0097509B" w:rsidP="000C4C95">
      <w:pPr>
        <w:jc w:val="center"/>
        <w:rPr>
          <w:b/>
          <w:bCs/>
          <w:sz w:val="28"/>
          <w:szCs w:val="32"/>
        </w:rPr>
      </w:pPr>
    </w:p>
    <w:p w14:paraId="21E7B123" w14:textId="77777777" w:rsidR="003474CC" w:rsidRDefault="003474CC" w:rsidP="000C4C95">
      <w:pPr>
        <w:jc w:val="center"/>
        <w:rPr>
          <w:b/>
          <w:bCs/>
          <w:sz w:val="28"/>
          <w:szCs w:val="32"/>
        </w:rPr>
      </w:pPr>
      <w:r>
        <w:rPr>
          <w:b/>
          <w:bCs/>
          <w:sz w:val="28"/>
          <w:szCs w:val="32"/>
        </w:rPr>
        <w:t>REPORT 1</w:t>
      </w:r>
    </w:p>
    <w:p w14:paraId="7E723DCB" w14:textId="73DA89DC" w:rsidR="00850CAC" w:rsidRPr="00665968" w:rsidRDefault="000C4C95" w:rsidP="000C4C95">
      <w:pPr>
        <w:jc w:val="center"/>
        <w:rPr>
          <w:b/>
          <w:bCs/>
          <w:sz w:val="28"/>
          <w:szCs w:val="32"/>
        </w:rPr>
      </w:pPr>
      <w:r w:rsidRPr="00665968">
        <w:rPr>
          <w:b/>
          <w:bCs/>
          <w:sz w:val="28"/>
          <w:szCs w:val="32"/>
        </w:rPr>
        <w:t>RESEARCH REPORT</w:t>
      </w:r>
      <w:r w:rsidR="001E5E0C" w:rsidRPr="00665968">
        <w:rPr>
          <w:b/>
          <w:bCs/>
          <w:sz w:val="28"/>
          <w:szCs w:val="32"/>
        </w:rPr>
        <w:t xml:space="preserve"> &amp; </w:t>
      </w:r>
      <w:r w:rsidR="004A2CB1" w:rsidRPr="00665968">
        <w:rPr>
          <w:b/>
          <w:bCs/>
          <w:sz w:val="28"/>
          <w:szCs w:val="32"/>
        </w:rPr>
        <w:t>RECOMMENDATIONS TO THE OFS</w:t>
      </w:r>
    </w:p>
    <w:p w14:paraId="6B6AEC5E" w14:textId="77777777" w:rsidR="0097509B" w:rsidRDefault="0097509B" w:rsidP="00A13343">
      <w:pPr>
        <w:rPr>
          <w:b/>
          <w:bCs/>
          <w:sz w:val="24"/>
          <w:szCs w:val="28"/>
        </w:rPr>
      </w:pPr>
    </w:p>
    <w:p w14:paraId="2FF0BDBF" w14:textId="360568C7" w:rsidR="00665968" w:rsidRDefault="007A1EA1" w:rsidP="00A13343">
      <w:pPr>
        <w:jc w:val="center"/>
        <w:rPr>
          <w:b/>
          <w:bCs/>
          <w:sz w:val="24"/>
          <w:szCs w:val="28"/>
        </w:rPr>
      </w:pPr>
      <w:r>
        <w:rPr>
          <w:b/>
          <w:bCs/>
          <w:sz w:val="24"/>
          <w:szCs w:val="28"/>
        </w:rPr>
        <w:t>AUGUST</w:t>
      </w:r>
      <w:r w:rsidR="00665968">
        <w:rPr>
          <w:b/>
          <w:bCs/>
          <w:sz w:val="24"/>
          <w:szCs w:val="28"/>
        </w:rPr>
        <w:t xml:space="preserve"> 2025</w:t>
      </w:r>
    </w:p>
    <w:p w14:paraId="2C28EA5E" w14:textId="77777777" w:rsidR="0097509B" w:rsidRDefault="0097509B" w:rsidP="00665968">
      <w:pPr>
        <w:rPr>
          <w:b/>
          <w:bCs/>
          <w:sz w:val="24"/>
          <w:szCs w:val="28"/>
        </w:rPr>
      </w:pPr>
    </w:p>
    <w:p w14:paraId="710E9C45" w14:textId="77777777" w:rsidR="000E210B" w:rsidRDefault="00C32E55" w:rsidP="00665968">
      <w:pPr>
        <w:rPr>
          <w:szCs w:val="20"/>
        </w:rPr>
      </w:pPr>
      <w:r w:rsidRPr="002E3D4A">
        <w:rPr>
          <w:b/>
          <w:bCs/>
          <w:szCs w:val="20"/>
        </w:rPr>
        <w:t>Lead Author: Joanne Moore</w:t>
      </w:r>
      <w:r w:rsidRPr="002E3D4A">
        <w:rPr>
          <w:b/>
          <w:bCs/>
          <w:szCs w:val="20"/>
        </w:rPr>
        <w:br/>
      </w:r>
      <w:r w:rsidRPr="002E3D4A">
        <w:rPr>
          <w:szCs w:val="20"/>
        </w:rPr>
        <w:t xml:space="preserve">Email: </w:t>
      </w:r>
      <w:hyperlink r:id="rId10" w:history="1">
        <w:r w:rsidR="000E210B" w:rsidRPr="0018322F">
          <w:rPr>
            <w:rStyle w:val="Hyperlink"/>
            <w:szCs w:val="20"/>
          </w:rPr>
          <w:t>jm3196@bath.ac.uk</w:t>
        </w:r>
      </w:hyperlink>
    </w:p>
    <w:p w14:paraId="01B05A25" w14:textId="3D904CFF" w:rsidR="00665968" w:rsidRPr="00C21A10" w:rsidRDefault="000E210B" w:rsidP="000E210B">
      <w:pPr>
        <w:pStyle w:val="Gap"/>
        <w:rPr>
          <w:lang w:val="fr-FR"/>
        </w:rPr>
      </w:pPr>
      <w:r w:rsidRPr="00AC1F19">
        <w:rPr>
          <w:lang w:val="fr-FR"/>
        </w:rPr>
        <w:t>Annette Hayton</w:t>
      </w:r>
      <w:r w:rsidRPr="00AC1F19">
        <w:rPr>
          <w:lang w:val="fr-FR"/>
        </w:rPr>
        <w:br/>
      </w:r>
      <w:proofErr w:type="gramStart"/>
      <w:r w:rsidRPr="00AC1F19">
        <w:rPr>
          <w:lang w:val="fr-FR"/>
        </w:rPr>
        <w:t>Email:</w:t>
      </w:r>
      <w:proofErr w:type="gramEnd"/>
      <w:r w:rsidRPr="00AC1F19">
        <w:rPr>
          <w:lang w:val="fr-FR"/>
        </w:rPr>
        <w:t xml:space="preserve"> arh39@bath.ac.uk</w:t>
      </w:r>
    </w:p>
    <w:p w14:paraId="54F08A17" w14:textId="77777777" w:rsidR="00ED26E8" w:rsidRPr="00C21A10" w:rsidRDefault="00ED26E8" w:rsidP="000C4C95">
      <w:pPr>
        <w:jc w:val="center"/>
        <w:rPr>
          <w:b/>
          <w:bCs/>
          <w:szCs w:val="20"/>
          <w:lang w:val="fr-FR"/>
        </w:rPr>
      </w:pPr>
    </w:p>
    <w:p w14:paraId="2875717A" w14:textId="77777777" w:rsidR="00A51504" w:rsidRPr="002E3D4A" w:rsidRDefault="00ED26E8" w:rsidP="00A51504">
      <w:pPr>
        <w:rPr>
          <w:szCs w:val="20"/>
        </w:rPr>
      </w:pPr>
      <w:r w:rsidRPr="002E3D4A">
        <w:rPr>
          <w:b/>
          <w:bCs/>
          <w:szCs w:val="20"/>
        </w:rPr>
        <w:t xml:space="preserve">Institutional </w:t>
      </w:r>
      <w:r w:rsidR="00A13343" w:rsidRPr="002E3D4A">
        <w:rPr>
          <w:b/>
          <w:bCs/>
          <w:szCs w:val="20"/>
        </w:rPr>
        <w:t>P</w:t>
      </w:r>
      <w:r w:rsidRPr="002E3D4A">
        <w:rPr>
          <w:b/>
          <w:bCs/>
          <w:szCs w:val="20"/>
        </w:rPr>
        <w:t xml:space="preserve">artners: </w:t>
      </w:r>
      <w:r w:rsidR="00FE0CE5" w:rsidRPr="002E3D4A">
        <w:rPr>
          <w:b/>
          <w:bCs/>
          <w:szCs w:val="20"/>
        </w:rPr>
        <w:br/>
      </w:r>
      <w:r w:rsidR="00A51504" w:rsidRPr="002E3D4A">
        <w:rPr>
          <w:szCs w:val="20"/>
        </w:rPr>
        <w:t>Leeds Conservatoire</w:t>
      </w:r>
      <w:r w:rsidR="00A51504" w:rsidRPr="002E3D4A">
        <w:rPr>
          <w:szCs w:val="20"/>
        </w:rPr>
        <w:br/>
        <w:t>London School of Economics and Political Science</w:t>
      </w:r>
      <w:r w:rsidR="00A51504" w:rsidRPr="002E3D4A">
        <w:rPr>
          <w:szCs w:val="20"/>
        </w:rPr>
        <w:br/>
        <w:t>Loughborough University</w:t>
      </w:r>
      <w:r w:rsidR="00A51504">
        <w:rPr>
          <w:szCs w:val="20"/>
        </w:rPr>
        <w:br/>
      </w:r>
      <w:proofErr w:type="spellStart"/>
      <w:r w:rsidR="00A51504">
        <w:rPr>
          <w:szCs w:val="20"/>
        </w:rPr>
        <w:t>University</w:t>
      </w:r>
      <w:proofErr w:type="spellEnd"/>
      <w:r w:rsidR="00A51504" w:rsidRPr="002E3D4A">
        <w:rPr>
          <w:szCs w:val="20"/>
        </w:rPr>
        <w:t xml:space="preserve"> of East London</w:t>
      </w:r>
      <w:r w:rsidR="00A51504" w:rsidRPr="002E3D4A">
        <w:rPr>
          <w:szCs w:val="20"/>
        </w:rPr>
        <w:br/>
        <w:t>University of Hertfordshire</w:t>
      </w:r>
      <w:r w:rsidR="00A51504" w:rsidRPr="002E3D4A">
        <w:rPr>
          <w:szCs w:val="20"/>
        </w:rPr>
        <w:br/>
        <w:t>University of Law</w:t>
      </w:r>
      <w:r w:rsidR="00A51504" w:rsidRPr="002E3D4A">
        <w:rPr>
          <w:szCs w:val="20"/>
        </w:rPr>
        <w:br/>
        <w:t>University of Sussex</w:t>
      </w:r>
    </w:p>
    <w:p w14:paraId="24536F90" w14:textId="3C8F2AF7" w:rsidR="001A174B" w:rsidRPr="002E3D4A" w:rsidRDefault="001A174B" w:rsidP="001A174B">
      <w:pPr>
        <w:rPr>
          <w:b/>
          <w:bCs/>
          <w:szCs w:val="20"/>
        </w:rPr>
      </w:pPr>
    </w:p>
    <w:p w14:paraId="0334DB6D" w14:textId="77777777" w:rsidR="00882915" w:rsidRDefault="0044613D" w:rsidP="00882915">
      <w:pPr>
        <w:rPr>
          <w:szCs w:val="20"/>
        </w:rPr>
      </w:pPr>
      <w:r w:rsidRPr="002E3D4A">
        <w:rPr>
          <w:b/>
          <w:bCs/>
          <w:szCs w:val="20"/>
        </w:rPr>
        <w:t xml:space="preserve">Project Reference Group: </w:t>
      </w:r>
      <w:r w:rsidRPr="002E3D4A">
        <w:rPr>
          <w:b/>
          <w:bCs/>
          <w:szCs w:val="20"/>
        </w:rPr>
        <w:br/>
      </w:r>
      <w:r w:rsidR="00882915" w:rsidRPr="002E3D4A">
        <w:rPr>
          <w:szCs w:val="20"/>
        </w:rPr>
        <w:t>Anna Anthony, Director of HEAT</w:t>
      </w:r>
      <w:r w:rsidR="00882915" w:rsidRPr="002E3D4A">
        <w:rPr>
          <w:szCs w:val="20"/>
        </w:rPr>
        <w:br/>
        <w:t>Matt Dixon, Professor of Economic &amp; Social Policy, University of Bath</w:t>
      </w:r>
      <w:r w:rsidR="00882915" w:rsidRPr="002E3D4A">
        <w:rPr>
          <w:szCs w:val="20"/>
        </w:rPr>
        <w:br/>
        <w:t>Manual Madriaga, Professor in Education, University of Nottingham</w:t>
      </w:r>
      <w:r w:rsidR="00882915" w:rsidRPr="002E3D4A">
        <w:rPr>
          <w:szCs w:val="20"/>
        </w:rPr>
        <w:br/>
        <w:t>Tony Moss, Pro Vice-Chancellor Education and Student Experience, London South Bank University</w:t>
      </w:r>
      <w:r w:rsidR="00882915" w:rsidRPr="002E3D4A">
        <w:rPr>
          <w:szCs w:val="20"/>
        </w:rPr>
        <w:br/>
        <w:t>Liz Thomas, Research Centre Lead: Centre for Research on Education and Social Justice (CRESJ), University of York</w:t>
      </w:r>
      <w:r w:rsidR="00882915">
        <w:rPr>
          <w:szCs w:val="20"/>
        </w:rPr>
        <w:br/>
      </w:r>
      <w:r w:rsidR="00882915" w:rsidRPr="002E3D4A">
        <w:rPr>
          <w:szCs w:val="20"/>
        </w:rPr>
        <w:t xml:space="preserve">Kathleen </w:t>
      </w:r>
      <w:r w:rsidR="00882915">
        <w:rPr>
          <w:szCs w:val="20"/>
        </w:rPr>
        <w:t xml:space="preserve">M </w:t>
      </w:r>
      <w:r w:rsidR="00882915" w:rsidRPr="002E3D4A">
        <w:rPr>
          <w:szCs w:val="20"/>
        </w:rPr>
        <w:t>Quinlan, Professor of HE and Director of Centre for the Study of HE, University of Kent</w:t>
      </w:r>
    </w:p>
    <w:p w14:paraId="7AB38BE9" w14:textId="1DD296F4" w:rsidR="0067019F" w:rsidRPr="002E3D4A" w:rsidRDefault="0067019F" w:rsidP="00512D7D">
      <w:pPr>
        <w:rPr>
          <w:szCs w:val="20"/>
        </w:rPr>
      </w:pPr>
    </w:p>
    <w:p w14:paraId="2AD9C0AF" w14:textId="50D3E416" w:rsidR="002E3D4A" w:rsidRDefault="0067019F" w:rsidP="0067019F">
      <w:pPr>
        <w:jc w:val="right"/>
        <w:rPr>
          <w:b/>
          <w:bCs/>
          <w:sz w:val="24"/>
          <w:szCs w:val="28"/>
        </w:rPr>
      </w:pPr>
      <w:r w:rsidRPr="0067019F">
        <w:rPr>
          <w:b/>
          <w:bCs/>
          <w:noProof/>
          <w:sz w:val="24"/>
          <w:szCs w:val="28"/>
        </w:rPr>
        <w:drawing>
          <wp:inline distT="0" distB="0" distL="0" distR="0" wp14:anchorId="6BE1F58F" wp14:editId="04F52AE7">
            <wp:extent cx="1904641" cy="554590"/>
            <wp:effectExtent l="0" t="0" r="635" b="0"/>
            <wp:docPr id="16" name="Picture 6" descr="NERUPI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6" descr="NERUPI Network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1830" cy="565419"/>
                    </a:xfrm>
                    <a:prstGeom prst="rect">
                      <a:avLst/>
                    </a:prstGeom>
                    <a:noFill/>
                    <a:ln>
                      <a:noFill/>
                    </a:ln>
                    <a:effectLst/>
                  </pic:spPr>
                </pic:pic>
              </a:graphicData>
            </a:graphic>
          </wp:inline>
        </w:drawing>
      </w:r>
      <w:r w:rsidR="0097509B">
        <w:rPr>
          <w:b/>
          <w:bCs/>
          <w:sz w:val="24"/>
          <w:szCs w:val="28"/>
        </w:rPr>
        <w:br w:type="page"/>
      </w:r>
    </w:p>
    <w:p w14:paraId="1AF925C7" w14:textId="14163171" w:rsidR="003749FA" w:rsidRDefault="00667D07" w:rsidP="00AB4665">
      <w:pPr>
        <w:pStyle w:val="Heading1"/>
        <w:numPr>
          <w:ilvl w:val="0"/>
          <w:numId w:val="0"/>
        </w:numPr>
        <w:ind w:left="432"/>
      </w:pPr>
      <w:bookmarkStart w:id="0" w:name="_Toc204556336"/>
      <w:bookmarkStart w:id="1" w:name="_Toc205033872"/>
      <w:bookmarkStart w:id="2" w:name="_Toc205498231"/>
      <w:bookmarkStart w:id="3" w:name="_Toc205504245"/>
      <w:r>
        <w:lastRenderedPageBreak/>
        <w:t>CONTENTS</w:t>
      </w:r>
      <w:bookmarkEnd w:id="0"/>
      <w:bookmarkEnd w:id="1"/>
      <w:bookmarkEnd w:id="2"/>
      <w:bookmarkEnd w:id="3"/>
    </w:p>
    <w:sdt>
      <w:sdtPr>
        <w:id w:val="929630785"/>
        <w:docPartObj>
          <w:docPartGallery w:val="Table of Contents"/>
          <w:docPartUnique/>
        </w:docPartObj>
      </w:sdtPr>
      <w:sdtEndPr>
        <w:rPr>
          <w:b/>
          <w:bCs/>
          <w:noProof/>
        </w:rPr>
      </w:sdtEndPr>
      <w:sdtContent>
        <w:p w14:paraId="5F77137B" w14:textId="75DCFD9B" w:rsidR="00C677D9" w:rsidRDefault="00AF7D47">
          <w:pPr>
            <w:pStyle w:val="TOC1"/>
            <w:tabs>
              <w:tab w:val="right" w:leader="dot" w:pos="9016"/>
            </w:tabs>
            <w:rPr>
              <w:rFonts w:asciiTheme="minorHAnsi" w:eastAsiaTheme="minorEastAsia" w:hAnsiTheme="minorHAnsi"/>
              <w:noProof/>
              <w:sz w:val="24"/>
              <w:szCs w:val="24"/>
              <w:lang w:eastAsia="en-GB"/>
            </w:rPr>
          </w:pPr>
          <w:r>
            <w:fldChar w:fldCharType="begin"/>
          </w:r>
          <w:r>
            <w:instrText xml:space="preserve"> TOC \o "1-3" \h \z \u </w:instrText>
          </w:r>
          <w:r>
            <w:fldChar w:fldCharType="separate"/>
          </w:r>
        </w:p>
        <w:p w14:paraId="763333CA" w14:textId="791AF64E" w:rsidR="00C677D9" w:rsidRDefault="00C677D9">
          <w:pPr>
            <w:pStyle w:val="TOC1"/>
            <w:tabs>
              <w:tab w:val="left" w:pos="400"/>
              <w:tab w:val="right" w:leader="dot" w:pos="9016"/>
            </w:tabs>
            <w:rPr>
              <w:rFonts w:asciiTheme="minorHAnsi" w:eastAsiaTheme="minorEastAsia" w:hAnsiTheme="minorHAnsi"/>
              <w:noProof/>
              <w:sz w:val="24"/>
              <w:szCs w:val="24"/>
              <w:lang w:eastAsia="en-GB"/>
            </w:rPr>
          </w:pPr>
          <w:hyperlink w:anchor="_Toc205504246" w:history="1">
            <w:r w:rsidRPr="00445C7D">
              <w:rPr>
                <w:rStyle w:val="Hyperlink"/>
                <w:noProof/>
              </w:rPr>
              <w:t>1</w:t>
            </w:r>
            <w:r>
              <w:rPr>
                <w:rFonts w:asciiTheme="minorHAnsi" w:eastAsiaTheme="minorEastAsia" w:hAnsiTheme="minorHAnsi"/>
                <w:noProof/>
                <w:sz w:val="24"/>
                <w:szCs w:val="24"/>
                <w:lang w:eastAsia="en-GB"/>
              </w:rPr>
              <w:tab/>
            </w:r>
            <w:r w:rsidRPr="00445C7D">
              <w:rPr>
                <w:rStyle w:val="Hyperlink"/>
                <w:noProof/>
              </w:rPr>
              <w:t>INTRODUCTION</w:t>
            </w:r>
            <w:r>
              <w:rPr>
                <w:noProof/>
                <w:webHidden/>
              </w:rPr>
              <w:tab/>
            </w:r>
            <w:r>
              <w:rPr>
                <w:noProof/>
                <w:webHidden/>
              </w:rPr>
              <w:fldChar w:fldCharType="begin"/>
            </w:r>
            <w:r>
              <w:rPr>
                <w:noProof/>
                <w:webHidden/>
              </w:rPr>
              <w:instrText xml:space="preserve"> PAGEREF _Toc205504246 \h </w:instrText>
            </w:r>
            <w:r>
              <w:rPr>
                <w:noProof/>
                <w:webHidden/>
              </w:rPr>
            </w:r>
            <w:r>
              <w:rPr>
                <w:noProof/>
                <w:webHidden/>
              </w:rPr>
              <w:fldChar w:fldCharType="separate"/>
            </w:r>
            <w:r w:rsidR="00D90908">
              <w:rPr>
                <w:noProof/>
                <w:webHidden/>
              </w:rPr>
              <w:t>1</w:t>
            </w:r>
            <w:r>
              <w:rPr>
                <w:noProof/>
                <w:webHidden/>
              </w:rPr>
              <w:fldChar w:fldCharType="end"/>
            </w:r>
          </w:hyperlink>
        </w:p>
        <w:p w14:paraId="2556D1FB" w14:textId="534E7E7D" w:rsidR="00C677D9" w:rsidRDefault="00C677D9">
          <w:pPr>
            <w:pStyle w:val="TOC2"/>
            <w:tabs>
              <w:tab w:val="left" w:pos="720"/>
              <w:tab w:val="right" w:leader="dot" w:pos="9016"/>
            </w:tabs>
            <w:rPr>
              <w:rFonts w:asciiTheme="minorHAnsi" w:eastAsiaTheme="minorEastAsia" w:hAnsiTheme="minorHAnsi"/>
              <w:noProof/>
              <w:sz w:val="24"/>
              <w:szCs w:val="24"/>
              <w:lang w:eastAsia="en-GB"/>
            </w:rPr>
          </w:pPr>
          <w:hyperlink w:anchor="_Toc205504247" w:history="1">
            <w:r w:rsidRPr="00445C7D">
              <w:rPr>
                <w:rStyle w:val="Hyperlink"/>
                <w:noProof/>
              </w:rPr>
              <w:t>1.1</w:t>
            </w:r>
            <w:r>
              <w:rPr>
                <w:rFonts w:asciiTheme="minorHAnsi" w:eastAsiaTheme="minorEastAsia" w:hAnsiTheme="minorHAnsi"/>
                <w:noProof/>
                <w:sz w:val="24"/>
                <w:szCs w:val="24"/>
                <w:lang w:eastAsia="en-GB"/>
              </w:rPr>
              <w:tab/>
            </w:r>
            <w:r w:rsidRPr="00445C7D">
              <w:rPr>
                <w:rStyle w:val="Hyperlink"/>
                <w:noProof/>
              </w:rPr>
              <w:t>Background</w:t>
            </w:r>
            <w:r>
              <w:rPr>
                <w:noProof/>
                <w:webHidden/>
              </w:rPr>
              <w:tab/>
            </w:r>
            <w:r>
              <w:rPr>
                <w:noProof/>
                <w:webHidden/>
              </w:rPr>
              <w:fldChar w:fldCharType="begin"/>
            </w:r>
            <w:r>
              <w:rPr>
                <w:noProof/>
                <w:webHidden/>
              </w:rPr>
              <w:instrText xml:space="preserve"> PAGEREF _Toc205504247 \h </w:instrText>
            </w:r>
            <w:r>
              <w:rPr>
                <w:noProof/>
                <w:webHidden/>
              </w:rPr>
            </w:r>
            <w:r>
              <w:rPr>
                <w:noProof/>
                <w:webHidden/>
              </w:rPr>
              <w:fldChar w:fldCharType="separate"/>
            </w:r>
            <w:r w:rsidR="00D90908">
              <w:rPr>
                <w:noProof/>
                <w:webHidden/>
              </w:rPr>
              <w:t>1</w:t>
            </w:r>
            <w:r>
              <w:rPr>
                <w:noProof/>
                <w:webHidden/>
              </w:rPr>
              <w:fldChar w:fldCharType="end"/>
            </w:r>
          </w:hyperlink>
        </w:p>
        <w:p w14:paraId="0EC25EEE" w14:textId="0337B938" w:rsidR="00C677D9" w:rsidRDefault="00C677D9">
          <w:pPr>
            <w:pStyle w:val="TOC2"/>
            <w:tabs>
              <w:tab w:val="left" w:pos="720"/>
              <w:tab w:val="right" w:leader="dot" w:pos="9016"/>
            </w:tabs>
            <w:rPr>
              <w:rFonts w:asciiTheme="minorHAnsi" w:eastAsiaTheme="minorEastAsia" w:hAnsiTheme="minorHAnsi"/>
              <w:noProof/>
              <w:sz w:val="24"/>
              <w:szCs w:val="24"/>
              <w:lang w:eastAsia="en-GB"/>
            </w:rPr>
          </w:pPr>
          <w:hyperlink w:anchor="_Toc205504248" w:history="1">
            <w:r w:rsidRPr="00445C7D">
              <w:rPr>
                <w:rStyle w:val="Hyperlink"/>
                <w:noProof/>
              </w:rPr>
              <w:t>1.2</w:t>
            </w:r>
            <w:r>
              <w:rPr>
                <w:rFonts w:asciiTheme="minorHAnsi" w:eastAsiaTheme="minorEastAsia" w:hAnsiTheme="minorHAnsi"/>
                <w:noProof/>
                <w:sz w:val="24"/>
                <w:szCs w:val="24"/>
                <w:lang w:eastAsia="en-GB"/>
              </w:rPr>
              <w:tab/>
            </w:r>
            <w:r w:rsidRPr="00445C7D">
              <w:rPr>
                <w:rStyle w:val="Hyperlink"/>
                <w:noProof/>
              </w:rPr>
              <w:t>Why was this project undertaken?</w:t>
            </w:r>
            <w:r>
              <w:rPr>
                <w:noProof/>
                <w:webHidden/>
              </w:rPr>
              <w:tab/>
            </w:r>
            <w:r>
              <w:rPr>
                <w:noProof/>
                <w:webHidden/>
              </w:rPr>
              <w:fldChar w:fldCharType="begin"/>
            </w:r>
            <w:r>
              <w:rPr>
                <w:noProof/>
                <w:webHidden/>
              </w:rPr>
              <w:instrText xml:space="preserve"> PAGEREF _Toc205504248 \h </w:instrText>
            </w:r>
            <w:r>
              <w:rPr>
                <w:noProof/>
                <w:webHidden/>
              </w:rPr>
            </w:r>
            <w:r>
              <w:rPr>
                <w:noProof/>
                <w:webHidden/>
              </w:rPr>
              <w:fldChar w:fldCharType="separate"/>
            </w:r>
            <w:r w:rsidR="00D90908">
              <w:rPr>
                <w:noProof/>
                <w:webHidden/>
              </w:rPr>
              <w:t>2</w:t>
            </w:r>
            <w:r>
              <w:rPr>
                <w:noProof/>
                <w:webHidden/>
              </w:rPr>
              <w:fldChar w:fldCharType="end"/>
            </w:r>
          </w:hyperlink>
        </w:p>
        <w:p w14:paraId="51C094A5" w14:textId="44F0E1D3" w:rsidR="00C677D9" w:rsidRDefault="00C677D9">
          <w:pPr>
            <w:pStyle w:val="TOC2"/>
            <w:tabs>
              <w:tab w:val="left" w:pos="720"/>
              <w:tab w:val="right" w:leader="dot" w:pos="9016"/>
            </w:tabs>
            <w:rPr>
              <w:rFonts w:asciiTheme="minorHAnsi" w:eastAsiaTheme="minorEastAsia" w:hAnsiTheme="minorHAnsi"/>
              <w:noProof/>
              <w:sz w:val="24"/>
              <w:szCs w:val="24"/>
              <w:lang w:eastAsia="en-GB"/>
            </w:rPr>
          </w:pPr>
          <w:hyperlink w:anchor="_Toc205504249" w:history="1">
            <w:r w:rsidRPr="00445C7D">
              <w:rPr>
                <w:rStyle w:val="Hyperlink"/>
                <w:noProof/>
              </w:rPr>
              <w:t>1.3</w:t>
            </w:r>
            <w:r>
              <w:rPr>
                <w:rFonts w:asciiTheme="minorHAnsi" w:eastAsiaTheme="minorEastAsia" w:hAnsiTheme="minorHAnsi"/>
                <w:noProof/>
                <w:sz w:val="24"/>
                <w:szCs w:val="24"/>
                <w:lang w:eastAsia="en-GB"/>
              </w:rPr>
              <w:tab/>
            </w:r>
            <w:r w:rsidRPr="00445C7D">
              <w:rPr>
                <w:rStyle w:val="Hyperlink"/>
                <w:noProof/>
              </w:rPr>
              <w:t>How was the research undertaken?</w:t>
            </w:r>
            <w:r>
              <w:rPr>
                <w:noProof/>
                <w:webHidden/>
              </w:rPr>
              <w:tab/>
            </w:r>
            <w:r>
              <w:rPr>
                <w:noProof/>
                <w:webHidden/>
              </w:rPr>
              <w:fldChar w:fldCharType="begin"/>
            </w:r>
            <w:r>
              <w:rPr>
                <w:noProof/>
                <w:webHidden/>
              </w:rPr>
              <w:instrText xml:space="preserve"> PAGEREF _Toc205504249 \h </w:instrText>
            </w:r>
            <w:r>
              <w:rPr>
                <w:noProof/>
                <w:webHidden/>
              </w:rPr>
            </w:r>
            <w:r>
              <w:rPr>
                <w:noProof/>
                <w:webHidden/>
              </w:rPr>
              <w:fldChar w:fldCharType="separate"/>
            </w:r>
            <w:r w:rsidR="00D90908">
              <w:rPr>
                <w:noProof/>
                <w:webHidden/>
              </w:rPr>
              <w:t>2</w:t>
            </w:r>
            <w:r>
              <w:rPr>
                <w:noProof/>
                <w:webHidden/>
              </w:rPr>
              <w:fldChar w:fldCharType="end"/>
            </w:r>
          </w:hyperlink>
        </w:p>
        <w:p w14:paraId="64136305" w14:textId="6B31EE79" w:rsidR="00C677D9" w:rsidRDefault="00C677D9">
          <w:pPr>
            <w:pStyle w:val="TOC2"/>
            <w:tabs>
              <w:tab w:val="left" w:pos="720"/>
              <w:tab w:val="right" w:leader="dot" w:pos="9016"/>
            </w:tabs>
            <w:rPr>
              <w:rFonts w:asciiTheme="minorHAnsi" w:eastAsiaTheme="minorEastAsia" w:hAnsiTheme="minorHAnsi"/>
              <w:noProof/>
              <w:sz w:val="24"/>
              <w:szCs w:val="24"/>
              <w:lang w:eastAsia="en-GB"/>
            </w:rPr>
          </w:pPr>
          <w:hyperlink w:anchor="_Toc205504250" w:history="1">
            <w:r w:rsidRPr="00445C7D">
              <w:rPr>
                <w:rStyle w:val="Hyperlink"/>
                <w:noProof/>
              </w:rPr>
              <w:t>1.4</w:t>
            </w:r>
            <w:r>
              <w:rPr>
                <w:rFonts w:asciiTheme="minorHAnsi" w:eastAsiaTheme="minorEastAsia" w:hAnsiTheme="minorHAnsi"/>
                <w:noProof/>
                <w:sz w:val="24"/>
                <w:szCs w:val="24"/>
                <w:lang w:eastAsia="en-GB"/>
              </w:rPr>
              <w:tab/>
            </w:r>
            <w:r w:rsidRPr="00445C7D">
              <w:rPr>
                <w:rStyle w:val="Hyperlink"/>
                <w:noProof/>
              </w:rPr>
              <w:t>This report</w:t>
            </w:r>
            <w:r>
              <w:rPr>
                <w:noProof/>
                <w:webHidden/>
              </w:rPr>
              <w:tab/>
            </w:r>
            <w:r>
              <w:rPr>
                <w:noProof/>
                <w:webHidden/>
              </w:rPr>
              <w:fldChar w:fldCharType="begin"/>
            </w:r>
            <w:r>
              <w:rPr>
                <w:noProof/>
                <w:webHidden/>
              </w:rPr>
              <w:instrText xml:space="preserve"> PAGEREF _Toc205504250 \h </w:instrText>
            </w:r>
            <w:r>
              <w:rPr>
                <w:noProof/>
                <w:webHidden/>
              </w:rPr>
            </w:r>
            <w:r>
              <w:rPr>
                <w:noProof/>
                <w:webHidden/>
              </w:rPr>
              <w:fldChar w:fldCharType="separate"/>
            </w:r>
            <w:r w:rsidR="00D90908">
              <w:rPr>
                <w:noProof/>
                <w:webHidden/>
              </w:rPr>
              <w:t>2</w:t>
            </w:r>
            <w:r>
              <w:rPr>
                <w:noProof/>
                <w:webHidden/>
              </w:rPr>
              <w:fldChar w:fldCharType="end"/>
            </w:r>
          </w:hyperlink>
        </w:p>
        <w:p w14:paraId="56CA91EE" w14:textId="2B66E517" w:rsidR="00C677D9" w:rsidRDefault="00C677D9">
          <w:pPr>
            <w:pStyle w:val="TOC1"/>
            <w:tabs>
              <w:tab w:val="left" w:pos="400"/>
              <w:tab w:val="right" w:leader="dot" w:pos="9016"/>
            </w:tabs>
            <w:rPr>
              <w:rFonts w:asciiTheme="minorHAnsi" w:eastAsiaTheme="minorEastAsia" w:hAnsiTheme="minorHAnsi"/>
              <w:noProof/>
              <w:sz w:val="24"/>
              <w:szCs w:val="24"/>
              <w:lang w:eastAsia="en-GB"/>
            </w:rPr>
          </w:pPr>
          <w:hyperlink w:anchor="_Toc205504251" w:history="1">
            <w:r w:rsidRPr="00445C7D">
              <w:rPr>
                <w:rStyle w:val="Hyperlink"/>
                <w:noProof/>
              </w:rPr>
              <w:t>2</w:t>
            </w:r>
            <w:r>
              <w:rPr>
                <w:rFonts w:asciiTheme="minorHAnsi" w:eastAsiaTheme="minorEastAsia" w:hAnsiTheme="minorHAnsi"/>
                <w:noProof/>
                <w:sz w:val="24"/>
                <w:szCs w:val="24"/>
                <w:lang w:eastAsia="en-GB"/>
              </w:rPr>
              <w:tab/>
            </w:r>
            <w:r w:rsidRPr="00445C7D">
              <w:rPr>
                <w:rStyle w:val="Hyperlink"/>
                <w:noProof/>
              </w:rPr>
              <w:t>IMPLICATIONS OF THE STANDARDS OF EVIDENCE</w:t>
            </w:r>
            <w:r>
              <w:rPr>
                <w:noProof/>
                <w:webHidden/>
              </w:rPr>
              <w:tab/>
            </w:r>
            <w:r>
              <w:rPr>
                <w:noProof/>
                <w:webHidden/>
              </w:rPr>
              <w:fldChar w:fldCharType="begin"/>
            </w:r>
            <w:r>
              <w:rPr>
                <w:noProof/>
                <w:webHidden/>
              </w:rPr>
              <w:instrText xml:space="preserve"> PAGEREF _Toc205504251 \h </w:instrText>
            </w:r>
            <w:r>
              <w:rPr>
                <w:noProof/>
                <w:webHidden/>
              </w:rPr>
            </w:r>
            <w:r>
              <w:rPr>
                <w:noProof/>
                <w:webHidden/>
              </w:rPr>
              <w:fldChar w:fldCharType="separate"/>
            </w:r>
            <w:r w:rsidR="00D90908">
              <w:rPr>
                <w:noProof/>
                <w:webHidden/>
              </w:rPr>
              <w:t>3</w:t>
            </w:r>
            <w:r>
              <w:rPr>
                <w:noProof/>
                <w:webHidden/>
              </w:rPr>
              <w:fldChar w:fldCharType="end"/>
            </w:r>
          </w:hyperlink>
        </w:p>
        <w:p w14:paraId="2E10C0B8" w14:textId="40C6BCF9" w:rsidR="00C677D9" w:rsidRDefault="00C677D9" w:rsidP="00EF7E11">
          <w:pPr>
            <w:pStyle w:val="TOC2"/>
            <w:tabs>
              <w:tab w:val="left" w:pos="720"/>
              <w:tab w:val="right" w:leader="dot" w:pos="9016"/>
            </w:tabs>
            <w:rPr>
              <w:rFonts w:asciiTheme="minorHAnsi" w:eastAsiaTheme="minorEastAsia" w:hAnsiTheme="minorHAnsi"/>
              <w:noProof/>
              <w:sz w:val="24"/>
              <w:szCs w:val="24"/>
              <w:lang w:eastAsia="en-GB"/>
            </w:rPr>
          </w:pPr>
          <w:hyperlink w:anchor="_Toc205504252" w:history="1">
            <w:r w:rsidRPr="00445C7D">
              <w:rPr>
                <w:rStyle w:val="Hyperlink"/>
                <w:noProof/>
              </w:rPr>
              <w:t>2.1</w:t>
            </w:r>
            <w:r>
              <w:rPr>
                <w:rFonts w:asciiTheme="minorHAnsi" w:eastAsiaTheme="minorEastAsia" w:hAnsiTheme="minorHAnsi"/>
                <w:noProof/>
                <w:sz w:val="24"/>
                <w:szCs w:val="24"/>
                <w:lang w:eastAsia="en-GB"/>
              </w:rPr>
              <w:tab/>
            </w:r>
            <w:r w:rsidRPr="00445C7D">
              <w:rPr>
                <w:rStyle w:val="Hyperlink"/>
                <w:noProof/>
              </w:rPr>
              <w:t>Feedback from the key informants on the implications of the standards of evidence</w:t>
            </w:r>
            <w:r>
              <w:rPr>
                <w:noProof/>
                <w:webHidden/>
              </w:rPr>
              <w:tab/>
            </w:r>
            <w:r>
              <w:rPr>
                <w:noProof/>
                <w:webHidden/>
              </w:rPr>
              <w:fldChar w:fldCharType="begin"/>
            </w:r>
            <w:r>
              <w:rPr>
                <w:noProof/>
                <w:webHidden/>
              </w:rPr>
              <w:instrText xml:space="preserve"> PAGEREF _Toc205504252 \h </w:instrText>
            </w:r>
            <w:r>
              <w:rPr>
                <w:noProof/>
                <w:webHidden/>
              </w:rPr>
            </w:r>
            <w:r>
              <w:rPr>
                <w:noProof/>
                <w:webHidden/>
              </w:rPr>
              <w:fldChar w:fldCharType="separate"/>
            </w:r>
            <w:r w:rsidR="00D90908">
              <w:rPr>
                <w:noProof/>
                <w:webHidden/>
              </w:rPr>
              <w:t>3</w:t>
            </w:r>
            <w:r>
              <w:rPr>
                <w:noProof/>
                <w:webHidden/>
              </w:rPr>
              <w:fldChar w:fldCharType="end"/>
            </w:r>
          </w:hyperlink>
        </w:p>
        <w:p w14:paraId="53BE2AA9" w14:textId="49D5B717" w:rsidR="00C677D9" w:rsidRDefault="00C677D9">
          <w:pPr>
            <w:pStyle w:val="TOC2"/>
            <w:tabs>
              <w:tab w:val="left" w:pos="720"/>
              <w:tab w:val="right" w:leader="dot" w:pos="9016"/>
            </w:tabs>
            <w:rPr>
              <w:rFonts w:asciiTheme="minorHAnsi" w:eastAsiaTheme="minorEastAsia" w:hAnsiTheme="minorHAnsi"/>
              <w:noProof/>
              <w:sz w:val="24"/>
              <w:szCs w:val="24"/>
              <w:lang w:eastAsia="en-GB"/>
            </w:rPr>
          </w:pPr>
          <w:hyperlink w:anchor="_Toc205504260" w:history="1">
            <w:r w:rsidRPr="00445C7D">
              <w:rPr>
                <w:rStyle w:val="Hyperlink"/>
                <w:noProof/>
              </w:rPr>
              <w:t>2.2</w:t>
            </w:r>
            <w:r>
              <w:rPr>
                <w:rFonts w:asciiTheme="minorHAnsi" w:eastAsiaTheme="minorEastAsia" w:hAnsiTheme="minorHAnsi"/>
                <w:noProof/>
                <w:sz w:val="24"/>
                <w:szCs w:val="24"/>
                <w:lang w:eastAsia="en-GB"/>
              </w:rPr>
              <w:tab/>
            </w:r>
            <w:r w:rsidRPr="00445C7D">
              <w:rPr>
                <w:rStyle w:val="Hyperlink"/>
                <w:noProof/>
              </w:rPr>
              <w:t>Use of the standards of evaluation self-assessment tool</w:t>
            </w:r>
            <w:r>
              <w:rPr>
                <w:noProof/>
                <w:webHidden/>
              </w:rPr>
              <w:tab/>
            </w:r>
            <w:r>
              <w:rPr>
                <w:noProof/>
                <w:webHidden/>
              </w:rPr>
              <w:fldChar w:fldCharType="begin"/>
            </w:r>
            <w:r>
              <w:rPr>
                <w:noProof/>
                <w:webHidden/>
              </w:rPr>
              <w:instrText xml:space="preserve"> PAGEREF _Toc205504260 \h </w:instrText>
            </w:r>
            <w:r>
              <w:rPr>
                <w:noProof/>
                <w:webHidden/>
              </w:rPr>
            </w:r>
            <w:r>
              <w:rPr>
                <w:noProof/>
                <w:webHidden/>
              </w:rPr>
              <w:fldChar w:fldCharType="separate"/>
            </w:r>
            <w:r w:rsidR="00D90908">
              <w:rPr>
                <w:noProof/>
                <w:webHidden/>
              </w:rPr>
              <w:t>10</w:t>
            </w:r>
            <w:r>
              <w:rPr>
                <w:noProof/>
                <w:webHidden/>
              </w:rPr>
              <w:fldChar w:fldCharType="end"/>
            </w:r>
          </w:hyperlink>
        </w:p>
        <w:p w14:paraId="41776ABD" w14:textId="22B7374A" w:rsidR="00C677D9" w:rsidRDefault="00C677D9">
          <w:pPr>
            <w:pStyle w:val="TOC1"/>
            <w:tabs>
              <w:tab w:val="left" w:pos="400"/>
              <w:tab w:val="right" w:leader="dot" w:pos="9016"/>
            </w:tabs>
            <w:rPr>
              <w:rFonts w:asciiTheme="minorHAnsi" w:eastAsiaTheme="minorEastAsia" w:hAnsiTheme="minorHAnsi"/>
              <w:noProof/>
              <w:sz w:val="24"/>
              <w:szCs w:val="24"/>
              <w:lang w:eastAsia="en-GB"/>
            </w:rPr>
          </w:pPr>
          <w:hyperlink w:anchor="_Toc205504261" w:history="1">
            <w:r w:rsidRPr="00445C7D">
              <w:rPr>
                <w:rStyle w:val="Hyperlink"/>
                <w:noProof/>
              </w:rPr>
              <w:t>3</w:t>
            </w:r>
            <w:r>
              <w:rPr>
                <w:rFonts w:asciiTheme="minorHAnsi" w:eastAsiaTheme="minorEastAsia" w:hAnsiTheme="minorHAnsi"/>
                <w:noProof/>
                <w:sz w:val="24"/>
                <w:szCs w:val="24"/>
                <w:lang w:eastAsia="en-GB"/>
              </w:rPr>
              <w:tab/>
            </w:r>
            <w:r w:rsidRPr="00445C7D">
              <w:rPr>
                <w:rStyle w:val="Hyperlink"/>
                <w:noProof/>
              </w:rPr>
              <w:t>THE TYPES/LEVELS DISCOURSE</w:t>
            </w:r>
            <w:r>
              <w:rPr>
                <w:noProof/>
                <w:webHidden/>
              </w:rPr>
              <w:tab/>
            </w:r>
            <w:r>
              <w:rPr>
                <w:noProof/>
                <w:webHidden/>
              </w:rPr>
              <w:fldChar w:fldCharType="begin"/>
            </w:r>
            <w:r>
              <w:rPr>
                <w:noProof/>
                <w:webHidden/>
              </w:rPr>
              <w:instrText xml:space="preserve"> PAGEREF _Toc205504261 \h </w:instrText>
            </w:r>
            <w:r>
              <w:rPr>
                <w:noProof/>
                <w:webHidden/>
              </w:rPr>
            </w:r>
            <w:r>
              <w:rPr>
                <w:noProof/>
                <w:webHidden/>
              </w:rPr>
              <w:fldChar w:fldCharType="separate"/>
            </w:r>
            <w:r w:rsidR="00D90908">
              <w:rPr>
                <w:noProof/>
                <w:webHidden/>
              </w:rPr>
              <w:t>11</w:t>
            </w:r>
            <w:r>
              <w:rPr>
                <w:noProof/>
                <w:webHidden/>
              </w:rPr>
              <w:fldChar w:fldCharType="end"/>
            </w:r>
          </w:hyperlink>
        </w:p>
        <w:p w14:paraId="1D46AA3B" w14:textId="0CC242F9" w:rsidR="00C677D9" w:rsidRDefault="00C677D9">
          <w:pPr>
            <w:pStyle w:val="TOC2"/>
            <w:tabs>
              <w:tab w:val="left" w:pos="720"/>
              <w:tab w:val="right" w:leader="dot" w:pos="9016"/>
            </w:tabs>
            <w:rPr>
              <w:rFonts w:asciiTheme="minorHAnsi" w:eastAsiaTheme="minorEastAsia" w:hAnsiTheme="minorHAnsi"/>
              <w:noProof/>
              <w:sz w:val="24"/>
              <w:szCs w:val="24"/>
              <w:lang w:eastAsia="en-GB"/>
            </w:rPr>
          </w:pPr>
          <w:hyperlink w:anchor="_Toc205504262" w:history="1">
            <w:r w:rsidRPr="00445C7D">
              <w:rPr>
                <w:rStyle w:val="Hyperlink"/>
                <w:noProof/>
              </w:rPr>
              <w:t>3.1</w:t>
            </w:r>
            <w:r>
              <w:rPr>
                <w:rFonts w:asciiTheme="minorHAnsi" w:eastAsiaTheme="minorEastAsia" w:hAnsiTheme="minorHAnsi"/>
                <w:noProof/>
                <w:sz w:val="24"/>
                <w:szCs w:val="24"/>
                <w:lang w:eastAsia="en-GB"/>
              </w:rPr>
              <w:tab/>
            </w:r>
            <w:r w:rsidRPr="00445C7D">
              <w:rPr>
                <w:rStyle w:val="Hyperlink"/>
                <w:noProof/>
              </w:rPr>
              <w:t>Perspectives on the evidence types</w:t>
            </w:r>
            <w:r>
              <w:rPr>
                <w:noProof/>
                <w:webHidden/>
              </w:rPr>
              <w:tab/>
            </w:r>
            <w:r>
              <w:rPr>
                <w:noProof/>
                <w:webHidden/>
              </w:rPr>
              <w:fldChar w:fldCharType="begin"/>
            </w:r>
            <w:r>
              <w:rPr>
                <w:noProof/>
                <w:webHidden/>
              </w:rPr>
              <w:instrText xml:space="preserve"> PAGEREF _Toc205504262 \h </w:instrText>
            </w:r>
            <w:r>
              <w:rPr>
                <w:noProof/>
                <w:webHidden/>
              </w:rPr>
            </w:r>
            <w:r>
              <w:rPr>
                <w:noProof/>
                <w:webHidden/>
              </w:rPr>
              <w:fldChar w:fldCharType="separate"/>
            </w:r>
            <w:r w:rsidR="00D90908">
              <w:rPr>
                <w:noProof/>
                <w:webHidden/>
              </w:rPr>
              <w:t>11</w:t>
            </w:r>
            <w:r>
              <w:rPr>
                <w:noProof/>
                <w:webHidden/>
              </w:rPr>
              <w:fldChar w:fldCharType="end"/>
            </w:r>
          </w:hyperlink>
        </w:p>
        <w:p w14:paraId="3AFD5D8B" w14:textId="151096E1" w:rsidR="00C677D9" w:rsidRDefault="00C677D9">
          <w:pPr>
            <w:pStyle w:val="TOC2"/>
            <w:tabs>
              <w:tab w:val="left" w:pos="720"/>
              <w:tab w:val="right" w:leader="dot" w:pos="9016"/>
            </w:tabs>
            <w:rPr>
              <w:rFonts w:asciiTheme="minorHAnsi" w:eastAsiaTheme="minorEastAsia" w:hAnsiTheme="minorHAnsi"/>
              <w:noProof/>
              <w:sz w:val="24"/>
              <w:szCs w:val="24"/>
              <w:lang w:eastAsia="en-GB"/>
            </w:rPr>
          </w:pPr>
          <w:hyperlink w:anchor="_Toc205504263" w:history="1">
            <w:r w:rsidRPr="00445C7D">
              <w:rPr>
                <w:rStyle w:val="Hyperlink"/>
                <w:noProof/>
              </w:rPr>
              <w:t>3.2</w:t>
            </w:r>
            <w:r>
              <w:rPr>
                <w:rFonts w:asciiTheme="minorHAnsi" w:eastAsiaTheme="minorEastAsia" w:hAnsiTheme="minorHAnsi"/>
                <w:noProof/>
                <w:sz w:val="24"/>
                <w:szCs w:val="24"/>
                <w:lang w:eastAsia="en-GB"/>
              </w:rPr>
              <w:tab/>
            </w:r>
            <w:r w:rsidRPr="00445C7D">
              <w:rPr>
                <w:rStyle w:val="Hyperlink"/>
                <w:noProof/>
              </w:rPr>
              <w:t>Challenges to using experimental methods</w:t>
            </w:r>
            <w:r>
              <w:rPr>
                <w:noProof/>
                <w:webHidden/>
              </w:rPr>
              <w:tab/>
            </w:r>
            <w:r>
              <w:rPr>
                <w:noProof/>
                <w:webHidden/>
              </w:rPr>
              <w:fldChar w:fldCharType="begin"/>
            </w:r>
            <w:r>
              <w:rPr>
                <w:noProof/>
                <w:webHidden/>
              </w:rPr>
              <w:instrText xml:space="preserve"> PAGEREF _Toc205504263 \h </w:instrText>
            </w:r>
            <w:r>
              <w:rPr>
                <w:noProof/>
                <w:webHidden/>
              </w:rPr>
            </w:r>
            <w:r>
              <w:rPr>
                <w:noProof/>
                <w:webHidden/>
              </w:rPr>
              <w:fldChar w:fldCharType="separate"/>
            </w:r>
            <w:r w:rsidR="00D90908">
              <w:rPr>
                <w:noProof/>
                <w:webHidden/>
              </w:rPr>
              <w:t>14</w:t>
            </w:r>
            <w:r>
              <w:rPr>
                <w:noProof/>
                <w:webHidden/>
              </w:rPr>
              <w:fldChar w:fldCharType="end"/>
            </w:r>
          </w:hyperlink>
        </w:p>
        <w:p w14:paraId="24FA7B9C" w14:textId="1421576D" w:rsidR="00C677D9" w:rsidRDefault="00C677D9">
          <w:pPr>
            <w:pStyle w:val="TOC2"/>
            <w:tabs>
              <w:tab w:val="left" w:pos="720"/>
              <w:tab w:val="right" w:leader="dot" w:pos="9016"/>
            </w:tabs>
            <w:rPr>
              <w:rFonts w:asciiTheme="minorHAnsi" w:eastAsiaTheme="minorEastAsia" w:hAnsiTheme="minorHAnsi"/>
              <w:noProof/>
              <w:sz w:val="24"/>
              <w:szCs w:val="24"/>
              <w:lang w:eastAsia="en-GB"/>
            </w:rPr>
          </w:pPr>
          <w:hyperlink w:anchor="_Toc205504264" w:history="1">
            <w:r w:rsidRPr="00445C7D">
              <w:rPr>
                <w:rStyle w:val="Hyperlink"/>
                <w:noProof/>
              </w:rPr>
              <w:t>3.3</w:t>
            </w:r>
            <w:r>
              <w:rPr>
                <w:rFonts w:asciiTheme="minorHAnsi" w:eastAsiaTheme="minorEastAsia" w:hAnsiTheme="minorHAnsi"/>
                <w:noProof/>
                <w:sz w:val="24"/>
                <w:szCs w:val="24"/>
                <w:lang w:eastAsia="en-GB"/>
              </w:rPr>
              <w:tab/>
            </w:r>
            <w:r w:rsidRPr="00445C7D">
              <w:rPr>
                <w:rStyle w:val="Hyperlink"/>
                <w:noProof/>
              </w:rPr>
              <w:t>Complementarity of impact and process evidence</w:t>
            </w:r>
            <w:r>
              <w:rPr>
                <w:noProof/>
                <w:webHidden/>
              </w:rPr>
              <w:tab/>
            </w:r>
            <w:r>
              <w:rPr>
                <w:noProof/>
                <w:webHidden/>
              </w:rPr>
              <w:fldChar w:fldCharType="begin"/>
            </w:r>
            <w:r>
              <w:rPr>
                <w:noProof/>
                <w:webHidden/>
              </w:rPr>
              <w:instrText xml:space="preserve"> PAGEREF _Toc205504264 \h </w:instrText>
            </w:r>
            <w:r>
              <w:rPr>
                <w:noProof/>
                <w:webHidden/>
              </w:rPr>
            </w:r>
            <w:r>
              <w:rPr>
                <w:noProof/>
                <w:webHidden/>
              </w:rPr>
              <w:fldChar w:fldCharType="separate"/>
            </w:r>
            <w:r w:rsidR="00D90908">
              <w:rPr>
                <w:noProof/>
                <w:webHidden/>
              </w:rPr>
              <w:t>16</w:t>
            </w:r>
            <w:r>
              <w:rPr>
                <w:noProof/>
                <w:webHidden/>
              </w:rPr>
              <w:fldChar w:fldCharType="end"/>
            </w:r>
          </w:hyperlink>
        </w:p>
        <w:p w14:paraId="3864C88B" w14:textId="1C708F81" w:rsidR="00C677D9" w:rsidRDefault="00C677D9">
          <w:pPr>
            <w:pStyle w:val="TOC1"/>
            <w:tabs>
              <w:tab w:val="left" w:pos="400"/>
              <w:tab w:val="right" w:leader="dot" w:pos="9016"/>
            </w:tabs>
            <w:rPr>
              <w:rFonts w:asciiTheme="minorHAnsi" w:eastAsiaTheme="minorEastAsia" w:hAnsiTheme="minorHAnsi"/>
              <w:noProof/>
              <w:sz w:val="24"/>
              <w:szCs w:val="24"/>
              <w:lang w:eastAsia="en-GB"/>
            </w:rPr>
          </w:pPr>
          <w:hyperlink w:anchor="_Toc205504265" w:history="1">
            <w:r w:rsidRPr="00445C7D">
              <w:rPr>
                <w:rStyle w:val="Hyperlink"/>
                <w:noProof/>
              </w:rPr>
              <w:t>4</w:t>
            </w:r>
            <w:r>
              <w:rPr>
                <w:rFonts w:asciiTheme="minorHAnsi" w:eastAsiaTheme="minorEastAsia" w:hAnsiTheme="minorHAnsi"/>
                <w:noProof/>
                <w:sz w:val="24"/>
                <w:szCs w:val="24"/>
                <w:lang w:eastAsia="en-GB"/>
              </w:rPr>
              <w:tab/>
            </w:r>
            <w:r w:rsidRPr="00445C7D">
              <w:rPr>
                <w:rStyle w:val="Hyperlink"/>
                <w:noProof/>
              </w:rPr>
              <w:t>THE EVOLVING CONTEXT FOR IMPACT EVALUATION</w:t>
            </w:r>
            <w:r>
              <w:rPr>
                <w:noProof/>
                <w:webHidden/>
              </w:rPr>
              <w:tab/>
            </w:r>
            <w:r>
              <w:rPr>
                <w:noProof/>
                <w:webHidden/>
              </w:rPr>
              <w:fldChar w:fldCharType="begin"/>
            </w:r>
            <w:r>
              <w:rPr>
                <w:noProof/>
                <w:webHidden/>
              </w:rPr>
              <w:instrText xml:space="preserve"> PAGEREF _Toc205504265 \h </w:instrText>
            </w:r>
            <w:r>
              <w:rPr>
                <w:noProof/>
                <w:webHidden/>
              </w:rPr>
            </w:r>
            <w:r>
              <w:rPr>
                <w:noProof/>
                <w:webHidden/>
              </w:rPr>
              <w:fldChar w:fldCharType="separate"/>
            </w:r>
            <w:r w:rsidR="00D90908">
              <w:rPr>
                <w:noProof/>
                <w:webHidden/>
              </w:rPr>
              <w:t>17</w:t>
            </w:r>
            <w:r>
              <w:rPr>
                <w:noProof/>
                <w:webHidden/>
              </w:rPr>
              <w:fldChar w:fldCharType="end"/>
            </w:r>
          </w:hyperlink>
        </w:p>
        <w:p w14:paraId="0D6E512B" w14:textId="553951C7" w:rsidR="00C677D9" w:rsidRDefault="00C677D9">
          <w:pPr>
            <w:pStyle w:val="TOC2"/>
            <w:tabs>
              <w:tab w:val="left" w:pos="720"/>
              <w:tab w:val="right" w:leader="dot" w:pos="9016"/>
            </w:tabs>
            <w:rPr>
              <w:rFonts w:asciiTheme="minorHAnsi" w:eastAsiaTheme="minorEastAsia" w:hAnsiTheme="minorHAnsi"/>
              <w:noProof/>
              <w:sz w:val="24"/>
              <w:szCs w:val="24"/>
              <w:lang w:eastAsia="en-GB"/>
            </w:rPr>
          </w:pPr>
          <w:hyperlink w:anchor="_Toc205504266" w:history="1">
            <w:r w:rsidRPr="00445C7D">
              <w:rPr>
                <w:rStyle w:val="Hyperlink"/>
                <w:noProof/>
              </w:rPr>
              <w:t>4.1</w:t>
            </w:r>
            <w:r>
              <w:rPr>
                <w:rFonts w:asciiTheme="minorHAnsi" w:eastAsiaTheme="minorEastAsia" w:hAnsiTheme="minorHAnsi"/>
                <w:noProof/>
                <w:sz w:val="24"/>
                <w:szCs w:val="24"/>
                <w:lang w:eastAsia="en-GB"/>
              </w:rPr>
              <w:tab/>
            </w:r>
            <w:r w:rsidRPr="00445C7D">
              <w:rPr>
                <w:rStyle w:val="Hyperlink"/>
                <w:noProof/>
              </w:rPr>
              <w:t>Risk-based interventions strategies</w:t>
            </w:r>
            <w:r>
              <w:rPr>
                <w:noProof/>
                <w:webHidden/>
              </w:rPr>
              <w:tab/>
            </w:r>
            <w:r>
              <w:rPr>
                <w:noProof/>
                <w:webHidden/>
              </w:rPr>
              <w:fldChar w:fldCharType="begin"/>
            </w:r>
            <w:r>
              <w:rPr>
                <w:noProof/>
                <w:webHidden/>
              </w:rPr>
              <w:instrText xml:space="preserve"> PAGEREF _Toc205504266 \h </w:instrText>
            </w:r>
            <w:r>
              <w:rPr>
                <w:noProof/>
                <w:webHidden/>
              </w:rPr>
            </w:r>
            <w:r>
              <w:rPr>
                <w:noProof/>
                <w:webHidden/>
              </w:rPr>
              <w:fldChar w:fldCharType="separate"/>
            </w:r>
            <w:r w:rsidR="00D90908">
              <w:rPr>
                <w:noProof/>
                <w:webHidden/>
              </w:rPr>
              <w:t>18</w:t>
            </w:r>
            <w:r>
              <w:rPr>
                <w:noProof/>
                <w:webHidden/>
              </w:rPr>
              <w:fldChar w:fldCharType="end"/>
            </w:r>
          </w:hyperlink>
        </w:p>
        <w:p w14:paraId="5C2C9BD6" w14:textId="7A29F089" w:rsidR="00C677D9" w:rsidRDefault="00C677D9">
          <w:pPr>
            <w:pStyle w:val="TOC2"/>
            <w:tabs>
              <w:tab w:val="left" w:pos="720"/>
              <w:tab w:val="right" w:leader="dot" w:pos="9016"/>
            </w:tabs>
            <w:rPr>
              <w:rFonts w:asciiTheme="minorHAnsi" w:eastAsiaTheme="minorEastAsia" w:hAnsiTheme="minorHAnsi"/>
              <w:noProof/>
              <w:sz w:val="24"/>
              <w:szCs w:val="24"/>
              <w:lang w:eastAsia="en-GB"/>
            </w:rPr>
          </w:pPr>
          <w:hyperlink w:anchor="_Toc205504267" w:history="1">
            <w:r w:rsidRPr="00445C7D">
              <w:rPr>
                <w:rStyle w:val="Hyperlink"/>
                <w:noProof/>
              </w:rPr>
              <w:t>4.2</w:t>
            </w:r>
            <w:r>
              <w:rPr>
                <w:rFonts w:asciiTheme="minorHAnsi" w:eastAsiaTheme="minorEastAsia" w:hAnsiTheme="minorHAnsi"/>
                <w:noProof/>
                <w:sz w:val="24"/>
                <w:szCs w:val="24"/>
                <w:lang w:eastAsia="en-GB"/>
              </w:rPr>
              <w:tab/>
            </w:r>
            <w:r w:rsidRPr="00445C7D">
              <w:rPr>
                <w:rStyle w:val="Hyperlink"/>
                <w:noProof/>
              </w:rPr>
              <w:t>The delivery context</w:t>
            </w:r>
            <w:r>
              <w:rPr>
                <w:noProof/>
                <w:webHidden/>
              </w:rPr>
              <w:tab/>
            </w:r>
            <w:r>
              <w:rPr>
                <w:noProof/>
                <w:webHidden/>
              </w:rPr>
              <w:fldChar w:fldCharType="begin"/>
            </w:r>
            <w:r>
              <w:rPr>
                <w:noProof/>
                <w:webHidden/>
              </w:rPr>
              <w:instrText xml:space="preserve"> PAGEREF _Toc205504267 \h </w:instrText>
            </w:r>
            <w:r>
              <w:rPr>
                <w:noProof/>
                <w:webHidden/>
              </w:rPr>
            </w:r>
            <w:r>
              <w:rPr>
                <w:noProof/>
                <w:webHidden/>
              </w:rPr>
              <w:fldChar w:fldCharType="separate"/>
            </w:r>
            <w:r w:rsidR="00D90908">
              <w:rPr>
                <w:noProof/>
                <w:webHidden/>
              </w:rPr>
              <w:t>20</w:t>
            </w:r>
            <w:r>
              <w:rPr>
                <w:noProof/>
                <w:webHidden/>
              </w:rPr>
              <w:fldChar w:fldCharType="end"/>
            </w:r>
          </w:hyperlink>
        </w:p>
        <w:p w14:paraId="366349F1" w14:textId="6148600C" w:rsidR="00C677D9" w:rsidRDefault="00C677D9">
          <w:pPr>
            <w:pStyle w:val="TOC2"/>
            <w:tabs>
              <w:tab w:val="left" w:pos="720"/>
              <w:tab w:val="right" w:leader="dot" w:pos="9016"/>
            </w:tabs>
            <w:rPr>
              <w:rFonts w:asciiTheme="minorHAnsi" w:eastAsiaTheme="minorEastAsia" w:hAnsiTheme="minorHAnsi"/>
              <w:noProof/>
              <w:sz w:val="24"/>
              <w:szCs w:val="24"/>
              <w:lang w:eastAsia="en-GB"/>
            </w:rPr>
          </w:pPr>
          <w:hyperlink w:anchor="_Toc205504268" w:history="1">
            <w:r w:rsidRPr="00445C7D">
              <w:rPr>
                <w:rStyle w:val="Hyperlink"/>
                <w:noProof/>
              </w:rPr>
              <w:t>4.3</w:t>
            </w:r>
            <w:r>
              <w:rPr>
                <w:rFonts w:asciiTheme="minorHAnsi" w:eastAsiaTheme="minorEastAsia" w:hAnsiTheme="minorHAnsi"/>
                <w:noProof/>
                <w:sz w:val="24"/>
                <w:szCs w:val="24"/>
                <w:lang w:eastAsia="en-GB"/>
              </w:rPr>
              <w:tab/>
            </w:r>
            <w:r w:rsidRPr="00445C7D">
              <w:rPr>
                <w:rStyle w:val="Hyperlink"/>
                <w:noProof/>
              </w:rPr>
              <w:t>Nature of the outcomes and impacts</w:t>
            </w:r>
            <w:r>
              <w:rPr>
                <w:noProof/>
                <w:webHidden/>
              </w:rPr>
              <w:tab/>
            </w:r>
            <w:r>
              <w:rPr>
                <w:noProof/>
                <w:webHidden/>
              </w:rPr>
              <w:fldChar w:fldCharType="begin"/>
            </w:r>
            <w:r>
              <w:rPr>
                <w:noProof/>
                <w:webHidden/>
              </w:rPr>
              <w:instrText xml:space="preserve"> PAGEREF _Toc205504268 \h </w:instrText>
            </w:r>
            <w:r>
              <w:rPr>
                <w:noProof/>
                <w:webHidden/>
              </w:rPr>
            </w:r>
            <w:r>
              <w:rPr>
                <w:noProof/>
                <w:webHidden/>
              </w:rPr>
              <w:fldChar w:fldCharType="separate"/>
            </w:r>
            <w:r w:rsidR="00D90908">
              <w:rPr>
                <w:noProof/>
                <w:webHidden/>
              </w:rPr>
              <w:t>21</w:t>
            </w:r>
            <w:r>
              <w:rPr>
                <w:noProof/>
                <w:webHidden/>
              </w:rPr>
              <w:fldChar w:fldCharType="end"/>
            </w:r>
          </w:hyperlink>
        </w:p>
        <w:p w14:paraId="1A187D4B" w14:textId="0FCEE0E6" w:rsidR="00C677D9" w:rsidRDefault="00C677D9">
          <w:pPr>
            <w:pStyle w:val="TOC2"/>
            <w:tabs>
              <w:tab w:val="left" w:pos="720"/>
              <w:tab w:val="right" w:leader="dot" w:pos="9016"/>
            </w:tabs>
            <w:rPr>
              <w:rFonts w:asciiTheme="minorHAnsi" w:eastAsiaTheme="minorEastAsia" w:hAnsiTheme="minorHAnsi"/>
              <w:noProof/>
              <w:sz w:val="24"/>
              <w:szCs w:val="24"/>
              <w:lang w:eastAsia="en-GB"/>
            </w:rPr>
          </w:pPr>
          <w:hyperlink w:anchor="_Toc205504269" w:history="1">
            <w:r w:rsidRPr="00445C7D">
              <w:rPr>
                <w:rStyle w:val="Hyperlink"/>
                <w:noProof/>
              </w:rPr>
              <w:t>4.4</w:t>
            </w:r>
            <w:r>
              <w:rPr>
                <w:rFonts w:asciiTheme="minorHAnsi" w:eastAsiaTheme="minorEastAsia" w:hAnsiTheme="minorHAnsi"/>
                <w:noProof/>
                <w:sz w:val="24"/>
                <w:szCs w:val="24"/>
                <w:lang w:eastAsia="en-GB"/>
              </w:rPr>
              <w:tab/>
            </w:r>
            <w:r w:rsidRPr="00445C7D">
              <w:rPr>
                <w:rStyle w:val="Hyperlink"/>
                <w:noProof/>
              </w:rPr>
              <w:t>Organisational/structural changes and the ‘whole provider approach’ (WPA)</w:t>
            </w:r>
            <w:r>
              <w:rPr>
                <w:noProof/>
                <w:webHidden/>
              </w:rPr>
              <w:tab/>
            </w:r>
            <w:r>
              <w:rPr>
                <w:noProof/>
                <w:webHidden/>
              </w:rPr>
              <w:fldChar w:fldCharType="begin"/>
            </w:r>
            <w:r>
              <w:rPr>
                <w:noProof/>
                <w:webHidden/>
              </w:rPr>
              <w:instrText xml:space="preserve"> PAGEREF _Toc205504269 \h </w:instrText>
            </w:r>
            <w:r>
              <w:rPr>
                <w:noProof/>
                <w:webHidden/>
              </w:rPr>
            </w:r>
            <w:r>
              <w:rPr>
                <w:noProof/>
                <w:webHidden/>
              </w:rPr>
              <w:fldChar w:fldCharType="separate"/>
            </w:r>
            <w:r w:rsidR="00D90908">
              <w:rPr>
                <w:noProof/>
                <w:webHidden/>
              </w:rPr>
              <w:t>22</w:t>
            </w:r>
            <w:r>
              <w:rPr>
                <w:noProof/>
                <w:webHidden/>
              </w:rPr>
              <w:fldChar w:fldCharType="end"/>
            </w:r>
          </w:hyperlink>
        </w:p>
        <w:p w14:paraId="388B5873" w14:textId="3E6F39F4" w:rsidR="00C677D9" w:rsidRDefault="00C677D9">
          <w:pPr>
            <w:pStyle w:val="TOC2"/>
            <w:tabs>
              <w:tab w:val="left" w:pos="720"/>
              <w:tab w:val="right" w:leader="dot" w:pos="9016"/>
            </w:tabs>
            <w:rPr>
              <w:rFonts w:asciiTheme="minorHAnsi" w:eastAsiaTheme="minorEastAsia" w:hAnsiTheme="minorHAnsi"/>
              <w:noProof/>
              <w:sz w:val="24"/>
              <w:szCs w:val="24"/>
              <w:lang w:eastAsia="en-GB"/>
            </w:rPr>
          </w:pPr>
          <w:hyperlink w:anchor="_Toc205504270" w:history="1">
            <w:r w:rsidRPr="00445C7D">
              <w:rPr>
                <w:rStyle w:val="Hyperlink"/>
                <w:noProof/>
              </w:rPr>
              <w:t>4.5</w:t>
            </w:r>
            <w:r>
              <w:rPr>
                <w:rFonts w:asciiTheme="minorHAnsi" w:eastAsiaTheme="minorEastAsia" w:hAnsiTheme="minorHAnsi"/>
                <w:noProof/>
                <w:sz w:val="24"/>
                <w:szCs w:val="24"/>
                <w:lang w:eastAsia="en-GB"/>
              </w:rPr>
              <w:tab/>
            </w:r>
            <w:r w:rsidRPr="00445C7D">
              <w:rPr>
                <w:rStyle w:val="Hyperlink"/>
                <w:noProof/>
              </w:rPr>
              <w:t>Concern for student involvement</w:t>
            </w:r>
            <w:r>
              <w:rPr>
                <w:noProof/>
                <w:webHidden/>
              </w:rPr>
              <w:tab/>
            </w:r>
            <w:r>
              <w:rPr>
                <w:noProof/>
                <w:webHidden/>
              </w:rPr>
              <w:fldChar w:fldCharType="begin"/>
            </w:r>
            <w:r>
              <w:rPr>
                <w:noProof/>
                <w:webHidden/>
              </w:rPr>
              <w:instrText xml:space="preserve"> PAGEREF _Toc205504270 \h </w:instrText>
            </w:r>
            <w:r>
              <w:rPr>
                <w:noProof/>
                <w:webHidden/>
              </w:rPr>
            </w:r>
            <w:r>
              <w:rPr>
                <w:noProof/>
                <w:webHidden/>
              </w:rPr>
              <w:fldChar w:fldCharType="separate"/>
            </w:r>
            <w:r w:rsidR="00D90908">
              <w:rPr>
                <w:noProof/>
                <w:webHidden/>
              </w:rPr>
              <w:t>23</w:t>
            </w:r>
            <w:r>
              <w:rPr>
                <w:noProof/>
                <w:webHidden/>
              </w:rPr>
              <w:fldChar w:fldCharType="end"/>
            </w:r>
          </w:hyperlink>
        </w:p>
        <w:p w14:paraId="54CD0214" w14:textId="78C1FFAD" w:rsidR="00C677D9" w:rsidRDefault="00C677D9">
          <w:pPr>
            <w:pStyle w:val="TOC2"/>
            <w:tabs>
              <w:tab w:val="left" w:pos="720"/>
              <w:tab w:val="right" w:leader="dot" w:pos="9016"/>
            </w:tabs>
            <w:rPr>
              <w:rFonts w:asciiTheme="minorHAnsi" w:eastAsiaTheme="minorEastAsia" w:hAnsiTheme="minorHAnsi"/>
              <w:noProof/>
              <w:sz w:val="24"/>
              <w:szCs w:val="24"/>
              <w:lang w:eastAsia="en-GB"/>
            </w:rPr>
          </w:pPr>
          <w:hyperlink w:anchor="_Toc205504271" w:history="1">
            <w:r w:rsidRPr="00445C7D">
              <w:rPr>
                <w:rStyle w:val="Hyperlink"/>
                <w:noProof/>
              </w:rPr>
              <w:t>4.6</w:t>
            </w:r>
            <w:r>
              <w:rPr>
                <w:rFonts w:asciiTheme="minorHAnsi" w:eastAsiaTheme="minorEastAsia" w:hAnsiTheme="minorHAnsi"/>
                <w:noProof/>
                <w:sz w:val="24"/>
                <w:szCs w:val="24"/>
                <w:lang w:eastAsia="en-GB"/>
              </w:rPr>
              <w:tab/>
            </w:r>
            <w:r w:rsidRPr="00445C7D">
              <w:rPr>
                <w:rStyle w:val="Hyperlink"/>
                <w:noProof/>
              </w:rPr>
              <w:t>Discussion</w:t>
            </w:r>
            <w:r>
              <w:rPr>
                <w:noProof/>
                <w:webHidden/>
              </w:rPr>
              <w:tab/>
            </w:r>
            <w:r>
              <w:rPr>
                <w:noProof/>
                <w:webHidden/>
              </w:rPr>
              <w:fldChar w:fldCharType="begin"/>
            </w:r>
            <w:r>
              <w:rPr>
                <w:noProof/>
                <w:webHidden/>
              </w:rPr>
              <w:instrText xml:space="preserve"> PAGEREF _Toc205504271 \h </w:instrText>
            </w:r>
            <w:r>
              <w:rPr>
                <w:noProof/>
                <w:webHidden/>
              </w:rPr>
            </w:r>
            <w:r>
              <w:rPr>
                <w:noProof/>
                <w:webHidden/>
              </w:rPr>
              <w:fldChar w:fldCharType="separate"/>
            </w:r>
            <w:r w:rsidR="00D90908">
              <w:rPr>
                <w:noProof/>
                <w:webHidden/>
              </w:rPr>
              <w:t>24</w:t>
            </w:r>
            <w:r>
              <w:rPr>
                <w:noProof/>
                <w:webHidden/>
              </w:rPr>
              <w:fldChar w:fldCharType="end"/>
            </w:r>
          </w:hyperlink>
        </w:p>
        <w:p w14:paraId="57D58BFC" w14:textId="072954C0" w:rsidR="00C677D9" w:rsidRDefault="00C677D9">
          <w:pPr>
            <w:pStyle w:val="TOC1"/>
            <w:tabs>
              <w:tab w:val="left" w:pos="400"/>
              <w:tab w:val="right" w:leader="dot" w:pos="9016"/>
            </w:tabs>
            <w:rPr>
              <w:rFonts w:asciiTheme="minorHAnsi" w:eastAsiaTheme="minorEastAsia" w:hAnsiTheme="minorHAnsi"/>
              <w:noProof/>
              <w:sz w:val="24"/>
              <w:szCs w:val="24"/>
              <w:lang w:eastAsia="en-GB"/>
            </w:rPr>
          </w:pPr>
          <w:hyperlink w:anchor="_Toc205504272" w:history="1">
            <w:r w:rsidRPr="00445C7D">
              <w:rPr>
                <w:rStyle w:val="Hyperlink"/>
                <w:noProof/>
              </w:rPr>
              <w:t>5</w:t>
            </w:r>
            <w:r>
              <w:rPr>
                <w:rFonts w:asciiTheme="minorHAnsi" w:eastAsiaTheme="minorEastAsia" w:hAnsiTheme="minorHAnsi"/>
                <w:noProof/>
                <w:sz w:val="24"/>
                <w:szCs w:val="24"/>
                <w:lang w:eastAsia="en-GB"/>
              </w:rPr>
              <w:tab/>
            </w:r>
            <w:r w:rsidRPr="00445C7D">
              <w:rPr>
                <w:rStyle w:val="Hyperlink"/>
                <w:noProof/>
              </w:rPr>
              <w:t>IMPACT EVALUATION FOR EXTERNAL KNOWLEDGE GENERATION</w:t>
            </w:r>
            <w:r>
              <w:rPr>
                <w:noProof/>
                <w:webHidden/>
              </w:rPr>
              <w:tab/>
            </w:r>
            <w:r>
              <w:rPr>
                <w:noProof/>
                <w:webHidden/>
              </w:rPr>
              <w:fldChar w:fldCharType="begin"/>
            </w:r>
            <w:r>
              <w:rPr>
                <w:noProof/>
                <w:webHidden/>
              </w:rPr>
              <w:instrText xml:space="preserve"> PAGEREF _Toc205504272 \h </w:instrText>
            </w:r>
            <w:r>
              <w:rPr>
                <w:noProof/>
                <w:webHidden/>
              </w:rPr>
            </w:r>
            <w:r>
              <w:rPr>
                <w:noProof/>
                <w:webHidden/>
              </w:rPr>
              <w:fldChar w:fldCharType="separate"/>
            </w:r>
            <w:r w:rsidR="00D90908">
              <w:rPr>
                <w:noProof/>
                <w:webHidden/>
              </w:rPr>
              <w:t>25</w:t>
            </w:r>
            <w:r>
              <w:rPr>
                <w:noProof/>
                <w:webHidden/>
              </w:rPr>
              <w:fldChar w:fldCharType="end"/>
            </w:r>
          </w:hyperlink>
        </w:p>
        <w:p w14:paraId="366830C4" w14:textId="70260525" w:rsidR="00C677D9" w:rsidRDefault="00C677D9">
          <w:pPr>
            <w:pStyle w:val="TOC2"/>
            <w:tabs>
              <w:tab w:val="left" w:pos="720"/>
              <w:tab w:val="right" w:leader="dot" w:pos="9016"/>
            </w:tabs>
            <w:rPr>
              <w:rFonts w:asciiTheme="minorHAnsi" w:eastAsiaTheme="minorEastAsia" w:hAnsiTheme="minorHAnsi"/>
              <w:noProof/>
              <w:sz w:val="24"/>
              <w:szCs w:val="24"/>
              <w:lang w:eastAsia="en-GB"/>
            </w:rPr>
          </w:pPr>
          <w:hyperlink w:anchor="_Toc205504273" w:history="1">
            <w:r w:rsidRPr="00445C7D">
              <w:rPr>
                <w:rStyle w:val="Hyperlink"/>
                <w:noProof/>
              </w:rPr>
              <w:t>5.1</w:t>
            </w:r>
            <w:r>
              <w:rPr>
                <w:rFonts w:asciiTheme="minorHAnsi" w:eastAsiaTheme="minorEastAsia" w:hAnsiTheme="minorHAnsi"/>
                <w:noProof/>
                <w:sz w:val="24"/>
                <w:szCs w:val="24"/>
                <w:lang w:eastAsia="en-GB"/>
              </w:rPr>
              <w:tab/>
            </w:r>
            <w:r w:rsidRPr="00445C7D">
              <w:rPr>
                <w:rStyle w:val="Hyperlink"/>
                <w:noProof/>
              </w:rPr>
              <w:t>Generation of external evidence</w:t>
            </w:r>
            <w:r>
              <w:rPr>
                <w:noProof/>
                <w:webHidden/>
              </w:rPr>
              <w:tab/>
            </w:r>
            <w:r>
              <w:rPr>
                <w:noProof/>
                <w:webHidden/>
              </w:rPr>
              <w:fldChar w:fldCharType="begin"/>
            </w:r>
            <w:r>
              <w:rPr>
                <w:noProof/>
                <w:webHidden/>
              </w:rPr>
              <w:instrText xml:space="preserve"> PAGEREF _Toc205504273 \h </w:instrText>
            </w:r>
            <w:r>
              <w:rPr>
                <w:noProof/>
                <w:webHidden/>
              </w:rPr>
            </w:r>
            <w:r>
              <w:rPr>
                <w:noProof/>
                <w:webHidden/>
              </w:rPr>
              <w:fldChar w:fldCharType="separate"/>
            </w:r>
            <w:r w:rsidR="00D90908">
              <w:rPr>
                <w:noProof/>
                <w:webHidden/>
              </w:rPr>
              <w:t>25</w:t>
            </w:r>
            <w:r>
              <w:rPr>
                <w:noProof/>
                <w:webHidden/>
              </w:rPr>
              <w:fldChar w:fldCharType="end"/>
            </w:r>
          </w:hyperlink>
        </w:p>
        <w:p w14:paraId="5623B076" w14:textId="093D7814" w:rsidR="00C677D9" w:rsidRDefault="00C677D9">
          <w:pPr>
            <w:pStyle w:val="TOC2"/>
            <w:tabs>
              <w:tab w:val="left" w:pos="720"/>
              <w:tab w:val="right" w:leader="dot" w:pos="9016"/>
            </w:tabs>
            <w:rPr>
              <w:rFonts w:asciiTheme="minorHAnsi" w:eastAsiaTheme="minorEastAsia" w:hAnsiTheme="minorHAnsi"/>
              <w:noProof/>
              <w:sz w:val="24"/>
              <w:szCs w:val="24"/>
              <w:lang w:eastAsia="en-GB"/>
            </w:rPr>
          </w:pPr>
          <w:hyperlink w:anchor="_Toc205504274" w:history="1">
            <w:r w:rsidRPr="00445C7D">
              <w:rPr>
                <w:rStyle w:val="Hyperlink"/>
                <w:noProof/>
              </w:rPr>
              <w:t>5.2</w:t>
            </w:r>
            <w:r>
              <w:rPr>
                <w:rFonts w:asciiTheme="minorHAnsi" w:eastAsiaTheme="minorEastAsia" w:hAnsiTheme="minorHAnsi"/>
                <w:noProof/>
                <w:sz w:val="24"/>
                <w:szCs w:val="24"/>
                <w:lang w:eastAsia="en-GB"/>
              </w:rPr>
              <w:tab/>
            </w:r>
            <w:r w:rsidRPr="00445C7D">
              <w:rPr>
                <w:rStyle w:val="Hyperlink"/>
                <w:noProof/>
              </w:rPr>
              <w:t>Making post hoc judgements about impact evidence</w:t>
            </w:r>
            <w:r>
              <w:rPr>
                <w:noProof/>
                <w:webHidden/>
              </w:rPr>
              <w:tab/>
            </w:r>
            <w:r>
              <w:rPr>
                <w:noProof/>
                <w:webHidden/>
              </w:rPr>
              <w:fldChar w:fldCharType="begin"/>
            </w:r>
            <w:r>
              <w:rPr>
                <w:noProof/>
                <w:webHidden/>
              </w:rPr>
              <w:instrText xml:space="preserve"> PAGEREF _Toc205504274 \h </w:instrText>
            </w:r>
            <w:r>
              <w:rPr>
                <w:noProof/>
                <w:webHidden/>
              </w:rPr>
            </w:r>
            <w:r>
              <w:rPr>
                <w:noProof/>
                <w:webHidden/>
              </w:rPr>
              <w:fldChar w:fldCharType="separate"/>
            </w:r>
            <w:r w:rsidR="00D90908">
              <w:rPr>
                <w:noProof/>
                <w:webHidden/>
              </w:rPr>
              <w:t>26</w:t>
            </w:r>
            <w:r>
              <w:rPr>
                <w:noProof/>
                <w:webHidden/>
              </w:rPr>
              <w:fldChar w:fldCharType="end"/>
            </w:r>
          </w:hyperlink>
        </w:p>
        <w:p w14:paraId="32356FDE" w14:textId="6EDF2FCC" w:rsidR="00C677D9" w:rsidRDefault="00C677D9">
          <w:pPr>
            <w:pStyle w:val="TOC2"/>
            <w:tabs>
              <w:tab w:val="left" w:pos="720"/>
              <w:tab w:val="right" w:leader="dot" w:pos="9016"/>
            </w:tabs>
            <w:rPr>
              <w:rFonts w:asciiTheme="minorHAnsi" w:eastAsiaTheme="minorEastAsia" w:hAnsiTheme="minorHAnsi"/>
              <w:noProof/>
              <w:sz w:val="24"/>
              <w:szCs w:val="24"/>
              <w:lang w:eastAsia="en-GB"/>
            </w:rPr>
          </w:pPr>
          <w:hyperlink w:anchor="_Toc205504275" w:history="1">
            <w:r w:rsidRPr="00445C7D">
              <w:rPr>
                <w:rStyle w:val="Hyperlink"/>
                <w:noProof/>
              </w:rPr>
              <w:t>5.3</w:t>
            </w:r>
            <w:r>
              <w:rPr>
                <w:rFonts w:asciiTheme="minorHAnsi" w:eastAsiaTheme="minorEastAsia" w:hAnsiTheme="minorHAnsi"/>
                <w:noProof/>
                <w:sz w:val="24"/>
                <w:szCs w:val="24"/>
                <w:lang w:eastAsia="en-GB"/>
              </w:rPr>
              <w:tab/>
            </w:r>
            <w:r w:rsidRPr="00445C7D">
              <w:rPr>
                <w:rStyle w:val="Hyperlink"/>
                <w:noProof/>
              </w:rPr>
              <w:t>Evidence to support replication of knowledge and transferability of effective practice</w:t>
            </w:r>
            <w:r>
              <w:rPr>
                <w:noProof/>
                <w:webHidden/>
              </w:rPr>
              <w:tab/>
            </w:r>
            <w:r>
              <w:rPr>
                <w:noProof/>
                <w:webHidden/>
              </w:rPr>
              <w:fldChar w:fldCharType="begin"/>
            </w:r>
            <w:r>
              <w:rPr>
                <w:noProof/>
                <w:webHidden/>
              </w:rPr>
              <w:instrText xml:space="preserve"> PAGEREF _Toc205504275 \h </w:instrText>
            </w:r>
            <w:r>
              <w:rPr>
                <w:noProof/>
                <w:webHidden/>
              </w:rPr>
            </w:r>
            <w:r>
              <w:rPr>
                <w:noProof/>
                <w:webHidden/>
              </w:rPr>
              <w:fldChar w:fldCharType="separate"/>
            </w:r>
            <w:r w:rsidR="00D90908">
              <w:rPr>
                <w:noProof/>
                <w:webHidden/>
              </w:rPr>
              <w:t>27</w:t>
            </w:r>
            <w:r>
              <w:rPr>
                <w:noProof/>
                <w:webHidden/>
              </w:rPr>
              <w:fldChar w:fldCharType="end"/>
            </w:r>
          </w:hyperlink>
        </w:p>
        <w:p w14:paraId="471158B0" w14:textId="53099C85" w:rsidR="00C677D9" w:rsidRDefault="00C677D9">
          <w:pPr>
            <w:pStyle w:val="TOC1"/>
            <w:tabs>
              <w:tab w:val="left" w:pos="400"/>
              <w:tab w:val="right" w:leader="dot" w:pos="9016"/>
            </w:tabs>
            <w:rPr>
              <w:rFonts w:asciiTheme="minorHAnsi" w:eastAsiaTheme="minorEastAsia" w:hAnsiTheme="minorHAnsi"/>
              <w:noProof/>
              <w:sz w:val="24"/>
              <w:szCs w:val="24"/>
              <w:lang w:eastAsia="en-GB"/>
            </w:rPr>
          </w:pPr>
          <w:hyperlink w:anchor="_Toc205504276" w:history="1">
            <w:r w:rsidRPr="00445C7D">
              <w:rPr>
                <w:rStyle w:val="Hyperlink"/>
                <w:noProof/>
              </w:rPr>
              <w:t>6</w:t>
            </w:r>
            <w:r>
              <w:rPr>
                <w:rFonts w:asciiTheme="minorHAnsi" w:eastAsiaTheme="minorEastAsia" w:hAnsiTheme="minorHAnsi"/>
                <w:noProof/>
                <w:sz w:val="24"/>
                <w:szCs w:val="24"/>
                <w:lang w:eastAsia="en-GB"/>
              </w:rPr>
              <w:tab/>
            </w:r>
            <w:r w:rsidRPr="00445C7D">
              <w:rPr>
                <w:rStyle w:val="Hyperlink"/>
                <w:noProof/>
              </w:rPr>
              <w:t>CONCLUSIONS AND RECOMMENDATIONS</w:t>
            </w:r>
            <w:r>
              <w:rPr>
                <w:noProof/>
                <w:webHidden/>
              </w:rPr>
              <w:tab/>
            </w:r>
            <w:r>
              <w:rPr>
                <w:noProof/>
                <w:webHidden/>
              </w:rPr>
              <w:fldChar w:fldCharType="begin"/>
            </w:r>
            <w:r>
              <w:rPr>
                <w:noProof/>
                <w:webHidden/>
              </w:rPr>
              <w:instrText xml:space="preserve"> PAGEREF _Toc205504276 \h </w:instrText>
            </w:r>
            <w:r>
              <w:rPr>
                <w:noProof/>
                <w:webHidden/>
              </w:rPr>
            </w:r>
            <w:r>
              <w:rPr>
                <w:noProof/>
                <w:webHidden/>
              </w:rPr>
              <w:fldChar w:fldCharType="separate"/>
            </w:r>
            <w:r w:rsidR="00D90908">
              <w:rPr>
                <w:noProof/>
                <w:webHidden/>
              </w:rPr>
              <w:t>28</w:t>
            </w:r>
            <w:r>
              <w:rPr>
                <w:noProof/>
                <w:webHidden/>
              </w:rPr>
              <w:fldChar w:fldCharType="end"/>
            </w:r>
          </w:hyperlink>
        </w:p>
        <w:p w14:paraId="7F8424E3" w14:textId="027CEA0C" w:rsidR="00C677D9" w:rsidRDefault="00C677D9">
          <w:pPr>
            <w:pStyle w:val="TOC2"/>
            <w:tabs>
              <w:tab w:val="left" w:pos="720"/>
              <w:tab w:val="right" w:leader="dot" w:pos="9016"/>
            </w:tabs>
            <w:rPr>
              <w:rFonts w:asciiTheme="minorHAnsi" w:eastAsiaTheme="minorEastAsia" w:hAnsiTheme="minorHAnsi"/>
              <w:noProof/>
              <w:sz w:val="24"/>
              <w:szCs w:val="24"/>
              <w:lang w:eastAsia="en-GB"/>
            </w:rPr>
          </w:pPr>
          <w:hyperlink w:anchor="_Toc205504277" w:history="1">
            <w:r w:rsidRPr="00445C7D">
              <w:rPr>
                <w:rStyle w:val="Hyperlink"/>
                <w:noProof/>
              </w:rPr>
              <w:t>6.1</w:t>
            </w:r>
            <w:r>
              <w:rPr>
                <w:rFonts w:asciiTheme="minorHAnsi" w:eastAsiaTheme="minorEastAsia" w:hAnsiTheme="minorHAnsi"/>
                <w:noProof/>
                <w:sz w:val="24"/>
                <w:szCs w:val="24"/>
                <w:lang w:eastAsia="en-GB"/>
              </w:rPr>
              <w:tab/>
            </w:r>
            <w:r w:rsidRPr="00445C7D">
              <w:rPr>
                <w:rStyle w:val="Hyperlink"/>
                <w:noProof/>
              </w:rPr>
              <w:t>Conclusions</w:t>
            </w:r>
            <w:r>
              <w:rPr>
                <w:noProof/>
                <w:webHidden/>
              </w:rPr>
              <w:tab/>
            </w:r>
            <w:r>
              <w:rPr>
                <w:noProof/>
                <w:webHidden/>
              </w:rPr>
              <w:fldChar w:fldCharType="begin"/>
            </w:r>
            <w:r>
              <w:rPr>
                <w:noProof/>
                <w:webHidden/>
              </w:rPr>
              <w:instrText xml:space="preserve"> PAGEREF _Toc205504277 \h </w:instrText>
            </w:r>
            <w:r>
              <w:rPr>
                <w:noProof/>
                <w:webHidden/>
              </w:rPr>
            </w:r>
            <w:r>
              <w:rPr>
                <w:noProof/>
                <w:webHidden/>
              </w:rPr>
              <w:fldChar w:fldCharType="separate"/>
            </w:r>
            <w:r w:rsidR="00D90908">
              <w:rPr>
                <w:noProof/>
                <w:webHidden/>
              </w:rPr>
              <w:t>28</w:t>
            </w:r>
            <w:r>
              <w:rPr>
                <w:noProof/>
                <w:webHidden/>
              </w:rPr>
              <w:fldChar w:fldCharType="end"/>
            </w:r>
          </w:hyperlink>
        </w:p>
        <w:p w14:paraId="3D779A7A" w14:textId="57E48EA4" w:rsidR="00C677D9" w:rsidRDefault="00C677D9">
          <w:pPr>
            <w:pStyle w:val="TOC2"/>
            <w:tabs>
              <w:tab w:val="left" w:pos="720"/>
              <w:tab w:val="right" w:leader="dot" w:pos="9016"/>
            </w:tabs>
            <w:rPr>
              <w:rFonts w:asciiTheme="minorHAnsi" w:eastAsiaTheme="minorEastAsia" w:hAnsiTheme="minorHAnsi"/>
              <w:noProof/>
              <w:sz w:val="24"/>
              <w:szCs w:val="24"/>
              <w:lang w:eastAsia="en-GB"/>
            </w:rPr>
          </w:pPr>
          <w:hyperlink w:anchor="_Toc205504282" w:history="1">
            <w:r w:rsidRPr="00445C7D">
              <w:rPr>
                <w:rStyle w:val="Hyperlink"/>
                <w:noProof/>
              </w:rPr>
              <w:t>6.2</w:t>
            </w:r>
            <w:r>
              <w:rPr>
                <w:rFonts w:asciiTheme="minorHAnsi" w:eastAsiaTheme="minorEastAsia" w:hAnsiTheme="minorHAnsi"/>
                <w:noProof/>
                <w:sz w:val="24"/>
                <w:szCs w:val="24"/>
                <w:lang w:eastAsia="en-GB"/>
              </w:rPr>
              <w:tab/>
            </w:r>
            <w:r w:rsidRPr="00445C7D">
              <w:rPr>
                <w:rStyle w:val="Hyperlink"/>
                <w:noProof/>
              </w:rPr>
              <w:t>Recommendations to OfS</w:t>
            </w:r>
            <w:r>
              <w:rPr>
                <w:noProof/>
                <w:webHidden/>
              </w:rPr>
              <w:tab/>
            </w:r>
            <w:r>
              <w:rPr>
                <w:noProof/>
                <w:webHidden/>
              </w:rPr>
              <w:fldChar w:fldCharType="begin"/>
            </w:r>
            <w:r>
              <w:rPr>
                <w:noProof/>
                <w:webHidden/>
              </w:rPr>
              <w:instrText xml:space="preserve"> PAGEREF _Toc205504282 \h </w:instrText>
            </w:r>
            <w:r>
              <w:rPr>
                <w:noProof/>
                <w:webHidden/>
              </w:rPr>
            </w:r>
            <w:r>
              <w:rPr>
                <w:noProof/>
                <w:webHidden/>
              </w:rPr>
              <w:fldChar w:fldCharType="separate"/>
            </w:r>
            <w:r w:rsidR="00D90908">
              <w:rPr>
                <w:noProof/>
                <w:webHidden/>
              </w:rPr>
              <w:t>30</w:t>
            </w:r>
            <w:r>
              <w:rPr>
                <w:noProof/>
                <w:webHidden/>
              </w:rPr>
              <w:fldChar w:fldCharType="end"/>
            </w:r>
          </w:hyperlink>
        </w:p>
        <w:p w14:paraId="306DFCA2" w14:textId="397F9AC3" w:rsidR="00C677D9" w:rsidRDefault="00C677D9">
          <w:pPr>
            <w:pStyle w:val="TOC2"/>
            <w:tabs>
              <w:tab w:val="left" w:pos="720"/>
              <w:tab w:val="right" w:leader="dot" w:pos="9016"/>
            </w:tabs>
            <w:rPr>
              <w:rFonts w:asciiTheme="minorHAnsi" w:eastAsiaTheme="minorEastAsia" w:hAnsiTheme="minorHAnsi"/>
              <w:noProof/>
              <w:sz w:val="24"/>
              <w:szCs w:val="24"/>
              <w:lang w:eastAsia="en-GB"/>
            </w:rPr>
          </w:pPr>
          <w:hyperlink w:anchor="_Toc205504283" w:history="1">
            <w:r w:rsidRPr="00445C7D">
              <w:rPr>
                <w:rStyle w:val="Hyperlink"/>
                <w:noProof/>
              </w:rPr>
              <w:t>6.3</w:t>
            </w:r>
            <w:r>
              <w:rPr>
                <w:rFonts w:asciiTheme="minorHAnsi" w:eastAsiaTheme="minorEastAsia" w:hAnsiTheme="minorHAnsi"/>
                <w:noProof/>
                <w:sz w:val="24"/>
                <w:szCs w:val="24"/>
                <w:lang w:eastAsia="en-GB"/>
              </w:rPr>
              <w:tab/>
            </w:r>
            <w:r w:rsidRPr="00445C7D">
              <w:rPr>
                <w:rStyle w:val="Hyperlink"/>
                <w:noProof/>
              </w:rPr>
              <w:t>Recommendations to support the use of evidence</w:t>
            </w:r>
            <w:r>
              <w:rPr>
                <w:noProof/>
                <w:webHidden/>
              </w:rPr>
              <w:tab/>
            </w:r>
            <w:r>
              <w:rPr>
                <w:noProof/>
                <w:webHidden/>
              </w:rPr>
              <w:fldChar w:fldCharType="begin"/>
            </w:r>
            <w:r>
              <w:rPr>
                <w:noProof/>
                <w:webHidden/>
              </w:rPr>
              <w:instrText xml:space="preserve"> PAGEREF _Toc205504283 \h </w:instrText>
            </w:r>
            <w:r>
              <w:rPr>
                <w:noProof/>
                <w:webHidden/>
              </w:rPr>
            </w:r>
            <w:r>
              <w:rPr>
                <w:noProof/>
                <w:webHidden/>
              </w:rPr>
              <w:fldChar w:fldCharType="separate"/>
            </w:r>
            <w:r w:rsidR="00D90908">
              <w:rPr>
                <w:noProof/>
                <w:webHidden/>
              </w:rPr>
              <w:t>31</w:t>
            </w:r>
            <w:r>
              <w:rPr>
                <w:noProof/>
                <w:webHidden/>
              </w:rPr>
              <w:fldChar w:fldCharType="end"/>
            </w:r>
          </w:hyperlink>
        </w:p>
        <w:p w14:paraId="0681A32E" w14:textId="7642ACCC" w:rsidR="00C677D9" w:rsidRDefault="00C677D9">
          <w:pPr>
            <w:pStyle w:val="TOC2"/>
            <w:tabs>
              <w:tab w:val="left" w:pos="720"/>
              <w:tab w:val="right" w:leader="dot" w:pos="9016"/>
            </w:tabs>
            <w:rPr>
              <w:rFonts w:asciiTheme="minorHAnsi" w:eastAsiaTheme="minorEastAsia" w:hAnsiTheme="minorHAnsi"/>
              <w:noProof/>
              <w:sz w:val="24"/>
              <w:szCs w:val="24"/>
              <w:lang w:eastAsia="en-GB"/>
            </w:rPr>
          </w:pPr>
          <w:hyperlink w:anchor="_Toc205504284" w:history="1">
            <w:r w:rsidRPr="00445C7D">
              <w:rPr>
                <w:rStyle w:val="Hyperlink"/>
                <w:noProof/>
              </w:rPr>
              <w:t>6.4</w:t>
            </w:r>
            <w:r>
              <w:rPr>
                <w:rFonts w:asciiTheme="minorHAnsi" w:eastAsiaTheme="minorEastAsia" w:hAnsiTheme="minorHAnsi"/>
                <w:noProof/>
                <w:sz w:val="24"/>
                <w:szCs w:val="24"/>
                <w:lang w:eastAsia="en-GB"/>
              </w:rPr>
              <w:tab/>
            </w:r>
            <w:r w:rsidRPr="00445C7D">
              <w:rPr>
                <w:rStyle w:val="Hyperlink"/>
                <w:noProof/>
              </w:rPr>
              <w:t>Recommendations for further research</w:t>
            </w:r>
            <w:r>
              <w:rPr>
                <w:noProof/>
                <w:webHidden/>
              </w:rPr>
              <w:tab/>
            </w:r>
            <w:r>
              <w:rPr>
                <w:noProof/>
                <w:webHidden/>
              </w:rPr>
              <w:fldChar w:fldCharType="begin"/>
            </w:r>
            <w:r>
              <w:rPr>
                <w:noProof/>
                <w:webHidden/>
              </w:rPr>
              <w:instrText xml:space="preserve"> PAGEREF _Toc205504284 \h </w:instrText>
            </w:r>
            <w:r>
              <w:rPr>
                <w:noProof/>
                <w:webHidden/>
              </w:rPr>
            </w:r>
            <w:r>
              <w:rPr>
                <w:noProof/>
                <w:webHidden/>
              </w:rPr>
              <w:fldChar w:fldCharType="separate"/>
            </w:r>
            <w:r w:rsidR="00D90908">
              <w:rPr>
                <w:noProof/>
                <w:webHidden/>
              </w:rPr>
              <w:t>32</w:t>
            </w:r>
            <w:r>
              <w:rPr>
                <w:noProof/>
                <w:webHidden/>
              </w:rPr>
              <w:fldChar w:fldCharType="end"/>
            </w:r>
          </w:hyperlink>
        </w:p>
        <w:p w14:paraId="3A28ABD2" w14:textId="5982AA57" w:rsidR="00CB3CF6" w:rsidRDefault="00AF7D47">
          <w:pPr>
            <w:rPr>
              <w:b/>
              <w:bCs/>
              <w:noProof/>
            </w:rPr>
          </w:pPr>
          <w:r>
            <w:rPr>
              <w:b/>
              <w:bCs/>
              <w:noProof/>
            </w:rPr>
            <w:fldChar w:fldCharType="end"/>
          </w:r>
        </w:p>
        <w:p w14:paraId="10440B74" w14:textId="77777777" w:rsidR="008B27AE" w:rsidRDefault="00CB3CF6">
          <w:pPr>
            <w:rPr>
              <w:b/>
              <w:bCs/>
              <w:noProof/>
            </w:rPr>
          </w:pPr>
          <w:r>
            <w:rPr>
              <w:b/>
              <w:bCs/>
              <w:noProof/>
            </w:rPr>
            <w:t xml:space="preserve">Annex </w:t>
          </w:r>
          <w:r w:rsidR="008B27AE">
            <w:rPr>
              <w:b/>
              <w:bCs/>
              <w:noProof/>
            </w:rPr>
            <w:t>1</w:t>
          </w:r>
          <w:r>
            <w:rPr>
              <w:b/>
              <w:bCs/>
              <w:noProof/>
            </w:rPr>
            <w:t>: Research Method</w:t>
          </w:r>
        </w:p>
        <w:p w14:paraId="43DDF801" w14:textId="6D9B2EFC" w:rsidR="008B27AE" w:rsidRDefault="008B27AE">
          <w:pPr>
            <w:rPr>
              <w:b/>
              <w:bCs/>
            </w:rPr>
          </w:pPr>
          <w:r>
            <w:rPr>
              <w:b/>
              <w:bCs/>
              <w:noProof/>
            </w:rPr>
            <w:t xml:space="preserve">Annex 2: </w:t>
          </w:r>
          <w:r>
            <w:rPr>
              <w:b/>
              <w:bCs/>
            </w:rPr>
            <w:t>Suggested e</w:t>
          </w:r>
          <w:r w:rsidRPr="00AB4475">
            <w:rPr>
              <w:b/>
              <w:bCs/>
            </w:rPr>
            <w:t xml:space="preserve">nhancements to </w:t>
          </w:r>
          <w:r>
            <w:rPr>
              <w:b/>
              <w:bCs/>
            </w:rPr>
            <w:t xml:space="preserve">the </w:t>
          </w:r>
          <w:r w:rsidRPr="00AB4475">
            <w:rPr>
              <w:b/>
              <w:bCs/>
            </w:rPr>
            <w:t>evidence</w:t>
          </w:r>
          <w:r>
            <w:rPr>
              <w:b/>
              <w:bCs/>
            </w:rPr>
            <w:t xml:space="preserve"> standards framework</w:t>
          </w:r>
        </w:p>
        <w:p w14:paraId="4D888E7A" w14:textId="417E2675" w:rsidR="00AF7D47" w:rsidRDefault="008B27AE">
          <w:r>
            <w:rPr>
              <w:b/>
              <w:bCs/>
              <w:noProof/>
            </w:rPr>
            <w:t xml:space="preserve">Annex 3: </w:t>
          </w:r>
          <w:r w:rsidRPr="008B27AE">
            <w:rPr>
              <w:b/>
              <w:bCs/>
            </w:rPr>
            <w:t>Integration of theory-based evaluation for complex interventions</w:t>
          </w:r>
        </w:p>
      </w:sdtContent>
    </w:sdt>
    <w:p w14:paraId="33F3D15B" w14:textId="77777777" w:rsidR="00AB4665" w:rsidRDefault="00AB4665" w:rsidP="00667D07">
      <w:pPr>
        <w:sectPr w:rsidR="00AB4665" w:rsidSect="00532E5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46D3BEF0" w14:textId="4E83379B" w:rsidR="00892616" w:rsidRDefault="00B737E4" w:rsidP="00AB4665">
      <w:pPr>
        <w:pStyle w:val="Heading1"/>
      </w:pPr>
      <w:bookmarkStart w:id="4" w:name="_Toc205504246"/>
      <w:r>
        <w:lastRenderedPageBreak/>
        <w:t>I</w:t>
      </w:r>
      <w:r w:rsidR="0095238A">
        <w:t>NTRODUCTION</w:t>
      </w:r>
      <w:bookmarkEnd w:id="4"/>
    </w:p>
    <w:p w14:paraId="28947151" w14:textId="288372AE" w:rsidR="00363D69" w:rsidRDefault="00420384" w:rsidP="00363D69">
      <w:r>
        <w:t xml:space="preserve">This report sets out findings of the Policy Support Fund (PSF) 2024-25 funded project: </w:t>
      </w:r>
      <w:r w:rsidRPr="00A244CB">
        <w:t>Feasibility of enhancements to the Office for Students (</w:t>
      </w:r>
      <w:proofErr w:type="spellStart"/>
      <w:r w:rsidRPr="00A244CB">
        <w:t>OfS</w:t>
      </w:r>
      <w:proofErr w:type="spellEnd"/>
      <w:r w:rsidRPr="00A244CB">
        <w:t>) Standards of Evaluation Evidence for Access and Participation Plans</w:t>
      </w:r>
      <w:r>
        <w:t xml:space="preserve">. </w:t>
      </w:r>
      <w:r w:rsidR="00363D69">
        <w:t xml:space="preserve">The </w:t>
      </w:r>
      <w:proofErr w:type="spellStart"/>
      <w:r w:rsidR="00363D69">
        <w:t>OfS</w:t>
      </w:r>
      <w:proofErr w:type="spellEnd"/>
      <w:r w:rsidR="00363D69">
        <w:t xml:space="preserve"> s</w:t>
      </w:r>
      <w:r w:rsidR="00363D69" w:rsidRPr="00A51554">
        <w:t>tandards of evidence</w:t>
      </w:r>
      <w:r w:rsidR="00363D69">
        <w:rPr>
          <w:rStyle w:val="FootnoteReference"/>
        </w:rPr>
        <w:footnoteReference w:id="2"/>
      </w:r>
      <w:r w:rsidR="00363D69" w:rsidRPr="00A51554">
        <w:t xml:space="preserve"> </w:t>
      </w:r>
      <w:r w:rsidR="00363D69">
        <w:t xml:space="preserve">were developed to support evaluation capability building in higher education and to </w:t>
      </w:r>
      <w:r w:rsidR="00C21A10">
        <w:t>support</w:t>
      </w:r>
      <w:r w:rsidR="00363D69" w:rsidRPr="00A51554">
        <w:t xml:space="preserve"> </w:t>
      </w:r>
      <w:r w:rsidR="00363D69">
        <w:t xml:space="preserve">decision-makers </w:t>
      </w:r>
      <w:r w:rsidR="00C21A10">
        <w:t xml:space="preserve">in </w:t>
      </w:r>
      <w:r w:rsidR="00363D69" w:rsidRPr="00A51554">
        <w:t>mak</w:t>
      </w:r>
      <w:r w:rsidR="00C21A10">
        <w:t>ing</w:t>
      </w:r>
      <w:r w:rsidR="00363D69" w:rsidRPr="00A51554">
        <w:t xml:space="preserve"> consistent judgements when assessing evidence about the effectiveness of a particular policy, practice or program</w:t>
      </w:r>
      <w:r w:rsidR="00363D69">
        <w:t>me</w:t>
      </w:r>
      <w:r w:rsidR="00363D69" w:rsidRPr="00A51554">
        <w:t>.</w:t>
      </w:r>
      <w:r w:rsidR="00363D69">
        <w:t xml:space="preserve"> </w:t>
      </w:r>
    </w:p>
    <w:p w14:paraId="694FF021" w14:textId="09CBD089" w:rsidR="00E70EEA" w:rsidRDefault="00C21A10" w:rsidP="00420384">
      <w:r>
        <w:t xml:space="preserve">Effective </w:t>
      </w:r>
      <w:r w:rsidR="00363D69">
        <w:t xml:space="preserve">evaluation is important to identify which interventions are making a difference, and those which are not having the desired effect, </w:t>
      </w:r>
      <w:proofErr w:type="gramStart"/>
      <w:r w:rsidR="00363D69">
        <w:t>in order to</w:t>
      </w:r>
      <w:proofErr w:type="gramEnd"/>
      <w:r w:rsidR="00363D69">
        <w:t xml:space="preserve"> ensure that access and participation monies are used in the most effective ways that benefit outcomes. Understanding the impact that access and participation interventions are having matters </w:t>
      </w:r>
      <w:r>
        <w:t>if we are</w:t>
      </w:r>
      <w:r w:rsidR="00363D69">
        <w:t xml:space="preserve"> to identify effective practices and contribute to knowledge about what works to deliver improved widening participation outcomes and impacts for students in higher education. </w:t>
      </w:r>
    </w:p>
    <w:p w14:paraId="5D148450" w14:textId="63AC6FF5" w:rsidR="00420384" w:rsidRDefault="00AB7812" w:rsidP="00420384">
      <w:r>
        <w:t>T</w:t>
      </w:r>
      <w:r w:rsidR="00420384">
        <w:t xml:space="preserve">he aims of the research were to: </w:t>
      </w:r>
    </w:p>
    <w:p w14:paraId="5ADEE233" w14:textId="2FB34DED" w:rsidR="00420384" w:rsidRDefault="00C21A10" w:rsidP="005F3744">
      <w:pPr>
        <w:pStyle w:val="ListParagraph"/>
        <w:numPr>
          <w:ilvl w:val="0"/>
          <w:numId w:val="3"/>
        </w:numPr>
      </w:pPr>
      <w:r>
        <w:t>Support</w:t>
      </w:r>
      <w:r w:rsidR="00420384">
        <w:t xml:space="preserve"> universities’ capacity to produce effective evaluation evidence for widening participation interventions and fulfil their Access and Participation Plan (APP) commitments.</w:t>
      </w:r>
    </w:p>
    <w:p w14:paraId="4FFFE323" w14:textId="4FD9E34D" w:rsidR="00420384" w:rsidRDefault="00420384" w:rsidP="005F3744">
      <w:pPr>
        <w:pStyle w:val="ListParagraph"/>
        <w:numPr>
          <w:ilvl w:val="0"/>
          <w:numId w:val="3"/>
        </w:numPr>
      </w:pPr>
      <w:r>
        <w:t xml:space="preserve">Develop recommendations and tools enabling the transfer of effective practices across the </w:t>
      </w:r>
      <w:r w:rsidR="00E57838">
        <w:t>higher education</w:t>
      </w:r>
      <w:r>
        <w:t xml:space="preserve"> sector.</w:t>
      </w:r>
    </w:p>
    <w:p w14:paraId="03D1B798" w14:textId="005400EB" w:rsidR="00512D00" w:rsidRDefault="00E57838" w:rsidP="00512D00">
      <w:pPr>
        <w:pStyle w:val="ListParagraph"/>
        <w:numPr>
          <w:ilvl w:val="0"/>
          <w:numId w:val="3"/>
        </w:numPr>
      </w:pPr>
      <w:r>
        <w:t xml:space="preserve">Inform national </w:t>
      </w:r>
      <w:proofErr w:type="spellStart"/>
      <w:r>
        <w:t>OfS</w:t>
      </w:r>
      <w:proofErr w:type="spellEnd"/>
      <w:r>
        <w:t xml:space="preserve"> guidance on evaluation methods supporting transfer of best practice from impactful programmes.</w:t>
      </w:r>
    </w:p>
    <w:p w14:paraId="098476B3" w14:textId="6F6A7F8E" w:rsidR="00512D00" w:rsidRPr="00D00EF5" w:rsidRDefault="00E70EEA" w:rsidP="00E70EEA">
      <w:r>
        <w:t xml:space="preserve">This report should be read in conjunction with </w:t>
      </w:r>
      <w:r w:rsidR="00512D00" w:rsidRPr="00E70EEA">
        <w:rPr>
          <w:i/>
          <w:iCs/>
        </w:rPr>
        <w:t>Report Two: Practices for Evaluation Strengthening: Learning from the research partners</w:t>
      </w:r>
      <w:r w:rsidR="00512D00">
        <w:t xml:space="preserve">, </w:t>
      </w:r>
      <w:r>
        <w:t xml:space="preserve">which </w:t>
      </w:r>
      <w:r w:rsidR="00512D00">
        <w:t>discusses the challenges for institutions of APP evaluations, highlights areas of development to strengthen the evaluation approaches, in context, provides examples fr</w:t>
      </w:r>
      <w:r w:rsidR="00512D00" w:rsidRPr="0094032A">
        <w:t xml:space="preserve">om the case institutions of planned evaluations and </w:t>
      </w:r>
      <w:r w:rsidR="00512D00">
        <w:t xml:space="preserve">describes their </w:t>
      </w:r>
      <w:r w:rsidR="00512D00" w:rsidRPr="0094032A">
        <w:t>evaluation capability strengthening activities.</w:t>
      </w:r>
    </w:p>
    <w:p w14:paraId="6498B9EF" w14:textId="7DEE5030" w:rsidR="008F61AB" w:rsidRDefault="008F61AB" w:rsidP="00AE610F">
      <w:pPr>
        <w:pStyle w:val="Heading2"/>
      </w:pPr>
      <w:bookmarkStart w:id="5" w:name="_Toc205504247"/>
      <w:r>
        <w:t>Background</w:t>
      </w:r>
      <w:bookmarkEnd w:id="5"/>
    </w:p>
    <w:p w14:paraId="627D41F4" w14:textId="2D93D683" w:rsidR="003E5150" w:rsidRDefault="008B7FF8" w:rsidP="005428FD">
      <w:r w:rsidRPr="00D953BB">
        <w:t>The evidence base for access and participation interventions has been criticised for being underdeveloped nationally</w:t>
      </w:r>
      <w:r w:rsidR="0016466B">
        <w:t xml:space="preserve">, </w:t>
      </w:r>
      <w:r w:rsidRPr="00D953BB">
        <w:t>which has raised concerns about the extent to which what is being delivered is based on evidence of impact.</w:t>
      </w:r>
      <w:r w:rsidRPr="00D953BB">
        <w:rPr>
          <w:rStyle w:val="FootnoteReference"/>
        </w:rPr>
        <w:footnoteReference w:id="3"/>
      </w:r>
      <w:r w:rsidRPr="00F04424">
        <w:t xml:space="preserve"> </w:t>
      </w:r>
      <w:r>
        <w:t xml:space="preserve">One review concluded </w:t>
      </w:r>
      <w:r w:rsidR="007D4A22">
        <w:t>th</w:t>
      </w:r>
      <w:r w:rsidR="006738EB">
        <w:t>at</w:t>
      </w:r>
      <w:r w:rsidR="007D4A22">
        <w:t xml:space="preserve"> </w:t>
      </w:r>
      <w:r w:rsidRPr="00F04424">
        <w:t>widening participation tend</w:t>
      </w:r>
      <w:r w:rsidR="007D4A22">
        <w:t>s</w:t>
      </w:r>
      <w:r w:rsidRPr="00F04424">
        <w:t xml:space="preserve"> to be activity-led </w:t>
      </w:r>
      <w:r w:rsidR="007D4A22">
        <w:t xml:space="preserve">- </w:t>
      </w:r>
      <w:r w:rsidRPr="00F04424">
        <w:t xml:space="preserve">rather than outcome/theory led </w:t>
      </w:r>
      <w:r w:rsidR="007D4A22">
        <w:t xml:space="preserve">- </w:t>
      </w:r>
      <w:r w:rsidRPr="00F04424">
        <w:t>and concerned with data generation rather than critical thinking (Austen et al. 2021).</w:t>
      </w:r>
      <w:r w:rsidRPr="006D35CF">
        <w:rPr>
          <w:rStyle w:val="FootnoteReference"/>
        </w:rPr>
        <w:footnoteReference w:id="4"/>
      </w:r>
      <w:r>
        <w:t xml:space="preserve"> </w:t>
      </w:r>
    </w:p>
    <w:p w14:paraId="5F23CD0A" w14:textId="23AE10E5" w:rsidR="0070616B" w:rsidRDefault="009F2A9B" w:rsidP="0022713D">
      <w:r>
        <w:t>Standards of evidence are not new as a tool for improving practice and effectiveness by learning from publicly funded initiatives. Numerous frameworks have been developed to help structure how evidence is collected, interpreted and assessed.</w:t>
      </w:r>
      <w:r>
        <w:rPr>
          <w:rStyle w:val="FootnoteReference"/>
        </w:rPr>
        <w:footnoteReference w:id="5"/>
      </w:r>
      <w:r>
        <w:t xml:space="preserve"> </w:t>
      </w:r>
      <w:r w:rsidR="00EE6F07">
        <w:t>The s</w:t>
      </w:r>
      <w:r>
        <w:t xml:space="preserve">tandards </w:t>
      </w:r>
      <w:r w:rsidR="00566CA2">
        <w:t xml:space="preserve">of evidence </w:t>
      </w:r>
      <w:r>
        <w:t>in higher education were first published in 2017 as a result of a joint HEFCE/OFFA initiative</w:t>
      </w:r>
      <w:r w:rsidR="000E25A3">
        <w:t>, with a focus on evaluation of</w:t>
      </w:r>
      <w:r>
        <w:t xml:space="preserve"> outreach interventions</w:t>
      </w:r>
      <w:r w:rsidR="003B5F60">
        <w:t xml:space="preserve">, particularly </w:t>
      </w:r>
      <w:r>
        <w:t xml:space="preserve">as a strategy to raise aspirations and attainment of young people from groups under-represented in higher education </w:t>
      </w:r>
      <w:r w:rsidR="003B5F60">
        <w:t>(Crawford et al., 2017)</w:t>
      </w:r>
      <w:r w:rsidR="00930E4A">
        <w:t>.</w:t>
      </w:r>
      <w:r>
        <w:rPr>
          <w:rStyle w:val="FootnoteReference"/>
        </w:rPr>
        <w:footnoteReference w:id="6"/>
      </w:r>
      <w:r>
        <w:t xml:space="preserve"> In 2019, the </w:t>
      </w:r>
      <w:proofErr w:type="spellStart"/>
      <w:r>
        <w:t>OfS</w:t>
      </w:r>
      <w:proofErr w:type="spellEnd"/>
      <w:r>
        <w:t xml:space="preserve"> adopted and extended the standards as part of their general access and participation plan guidance</w:t>
      </w:r>
      <w:r>
        <w:rPr>
          <w:rStyle w:val="FootnoteReference"/>
        </w:rPr>
        <w:footnoteReference w:id="7"/>
      </w:r>
      <w:r>
        <w:t xml:space="preserve">. </w:t>
      </w:r>
      <w:r w:rsidR="009346DA">
        <w:t xml:space="preserve">The standards </w:t>
      </w:r>
      <w:r w:rsidR="0022713D">
        <w:t xml:space="preserve">promote transparency and accountability by providing a shared reference framework. They support evidence-based decisions about which interventions are effective in generating desired outcomes and impacts, and therefore the best use of access and participation resources. </w:t>
      </w:r>
      <w:r w:rsidR="00B76059">
        <w:t xml:space="preserve">They </w:t>
      </w:r>
      <w:r w:rsidR="00DE56AD">
        <w:t>are</w:t>
      </w:r>
      <w:r w:rsidR="00722E9A">
        <w:t xml:space="preserve"> based on </w:t>
      </w:r>
      <w:r w:rsidR="009346DA">
        <w:t xml:space="preserve">three types which generate different </w:t>
      </w:r>
      <w:r w:rsidR="00DE56AD">
        <w:t>kinds</w:t>
      </w:r>
      <w:r w:rsidR="009346DA">
        <w:t xml:space="preserve"> of evidence</w:t>
      </w:r>
      <w:r w:rsidR="00A23097">
        <w:t xml:space="preserve"> of impact</w:t>
      </w:r>
      <w:r w:rsidR="009346DA">
        <w:t xml:space="preserve">: </w:t>
      </w:r>
    </w:p>
    <w:p w14:paraId="29C5E6AB" w14:textId="1B2500CA" w:rsidR="0070616B" w:rsidRDefault="00CD7038" w:rsidP="00CD7038">
      <w:pPr>
        <w:ind w:left="284"/>
      </w:pPr>
      <w:r>
        <w:t xml:space="preserve">Type </w:t>
      </w:r>
      <w:r w:rsidR="00E80123">
        <w:t xml:space="preserve">1) </w:t>
      </w:r>
      <w:r w:rsidR="009346DA">
        <w:t xml:space="preserve">narrative evaluation </w:t>
      </w:r>
      <w:r w:rsidR="00B43E36">
        <w:t xml:space="preserve">- </w:t>
      </w:r>
      <w:r w:rsidR="009346DA">
        <w:t xml:space="preserve">knowing what </w:t>
      </w:r>
      <w:r w:rsidR="00BF62A9">
        <w:t>will</w:t>
      </w:r>
      <w:r w:rsidR="00DB30C7">
        <w:t xml:space="preserve"> generate impact </w:t>
      </w:r>
      <w:r w:rsidR="009346DA">
        <w:t>and why</w:t>
      </w:r>
      <w:r w:rsidR="00DB30C7">
        <w:t xml:space="preserve"> </w:t>
      </w:r>
      <w:r w:rsidR="00CC324E">
        <w:t xml:space="preserve">(including </w:t>
      </w:r>
      <w:r w:rsidR="003A1351">
        <w:t xml:space="preserve">existing </w:t>
      </w:r>
      <w:r w:rsidR="00CC324E">
        <w:t xml:space="preserve">evidence of </w:t>
      </w:r>
      <w:r w:rsidR="00CB21E9">
        <w:t>effectiveness</w:t>
      </w:r>
      <w:proofErr w:type="gramStart"/>
      <w:r w:rsidR="00CC324E">
        <w:t>)</w:t>
      </w:r>
      <w:r w:rsidR="009346DA">
        <w:t>;</w:t>
      </w:r>
      <w:proofErr w:type="gramEnd"/>
      <w:r w:rsidR="009346DA">
        <w:t xml:space="preserve"> </w:t>
      </w:r>
    </w:p>
    <w:p w14:paraId="52221F8E" w14:textId="5DD15BEA" w:rsidR="0070616B" w:rsidRDefault="00CD7038" w:rsidP="00CD7038">
      <w:pPr>
        <w:ind w:left="284"/>
      </w:pPr>
      <w:r>
        <w:lastRenderedPageBreak/>
        <w:t xml:space="preserve">Type </w:t>
      </w:r>
      <w:r w:rsidR="00E80123">
        <w:t xml:space="preserve">2) </w:t>
      </w:r>
      <w:r w:rsidR="009346DA">
        <w:t xml:space="preserve">empirical enquiry </w:t>
      </w:r>
      <w:r w:rsidR="00B43E36">
        <w:t xml:space="preserve">- </w:t>
      </w:r>
      <w:r w:rsidR="009346DA">
        <w:t xml:space="preserve">evaluation to measure </w:t>
      </w:r>
      <w:r w:rsidR="0070616B">
        <w:t xml:space="preserve">the </w:t>
      </w:r>
      <w:r w:rsidR="00BF5F36">
        <w:t>difference made</w:t>
      </w:r>
      <w:r w:rsidR="009346DA">
        <w:t xml:space="preserve"> by activities and practices</w:t>
      </w:r>
      <w:r w:rsidR="00B43E36">
        <w:t xml:space="preserve"> compared to what </w:t>
      </w:r>
      <w:r w:rsidR="00F87EAF">
        <w:t xml:space="preserve">might </w:t>
      </w:r>
      <w:r w:rsidR="00B43E36">
        <w:t xml:space="preserve">otherwise </w:t>
      </w:r>
      <w:r w:rsidR="00786D80">
        <w:t xml:space="preserve">have </w:t>
      </w:r>
      <w:r w:rsidR="00B43E36">
        <w:t>be</w:t>
      </w:r>
      <w:r w:rsidR="00786D80">
        <w:t>en</w:t>
      </w:r>
      <w:r w:rsidR="00B43E36">
        <w:t xml:space="preserve"> expected</w:t>
      </w:r>
      <w:r w:rsidR="00786D80">
        <w:t xml:space="preserve"> to </w:t>
      </w:r>
      <w:proofErr w:type="gramStart"/>
      <w:r w:rsidR="00786D80">
        <w:t>happen</w:t>
      </w:r>
      <w:r w:rsidR="009346DA">
        <w:t>;</w:t>
      </w:r>
      <w:proofErr w:type="gramEnd"/>
      <w:r w:rsidR="009346DA">
        <w:t xml:space="preserve"> </w:t>
      </w:r>
    </w:p>
    <w:p w14:paraId="415A543C" w14:textId="0ADF6EA4" w:rsidR="009346DA" w:rsidRDefault="00CD7038" w:rsidP="00CD7038">
      <w:pPr>
        <w:ind w:left="284"/>
      </w:pPr>
      <w:r>
        <w:t xml:space="preserve">Type </w:t>
      </w:r>
      <w:r w:rsidR="00E80123">
        <w:t>3)</w:t>
      </w:r>
      <w:r w:rsidR="009346DA">
        <w:t xml:space="preserve"> causal claims </w:t>
      </w:r>
      <w:r w:rsidR="00B43E36">
        <w:t xml:space="preserve">– to identify </w:t>
      </w:r>
      <w:r w:rsidR="009346DA">
        <w:t>w</w:t>
      </w:r>
      <w:r w:rsidR="00B43E36">
        <w:t>hether the</w:t>
      </w:r>
      <w:r w:rsidR="009346DA">
        <w:t xml:space="preserve"> </w:t>
      </w:r>
      <w:r w:rsidR="00F87EAF">
        <w:t xml:space="preserve">outcome and </w:t>
      </w:r>
      <w:r w:rsidR="009346DA">
        <w:t xml:space="preserve">impact </w:t>
      </w:r>
      <w:r w:rsidR="00B43E36">
        <w:t>w</w:t>
      </w:r>
      <w:r w:rsidR="009346DA">
        <w:t xml:space="preserve">as a direct result of </w:t>
      </w:r>
      <w:r w:rsidR="00BF62A9">
        <w:t>the</w:t>
      </w:r>
      <w:r w:rsidR="009346DA">
        <w:t xml:space="preserve"> activities.</w:t>
      </w:r>
    </w:p>
    <w:p w14:paraId="742C76A3" w14:textId="6C48EC65" w:rsidR="0038112D" w:rsidRPr="008F61AB" w:rsidRDefault="001841F2" w:rsidP="0038112D">
      <w:r>
        <w:t xml:space="preserve">Experience shows that using evidence to improve practice and decision-making is much more likely to happen when the environment for change is right. </w:t>
      </w:r>
      <w:r w:rsidR="003B6206">
        <w:t>The</w:t>
      </w:r>
      <w:r w:rsidR="0038112D">
        <w:t xml:space="preserve"> </w:t>
      </w:r>
      <w:proofErr w:type="spellStart"/>
      <w:r w:rsidR="00A007CA">
        <w:t>OfS</w:t>
      </w:r>
      <w:proofErr w:type="spellEnd"/>
      <w:r w:rsidR="00A007CA">
        <w:t xml:space="preserve"> </w:t>
      </w:r>
      <w:r w:rsidR="0038112D">
        <w:t>evaluation self-assessment tool</w:t>
      </w:r>
      <w:r w:rsidR="0038112D">
        <w:rPr>
          <w:rStyle w:val="FootnoteReference"/>
        </w:rPr>
        <w:footnoteReference w:id="8"/>
      </w:r>
      <w:r w:rsidR="0038112D">
        <w:t xml:space="preserve"> allows providers to assess the conditions in place internally for impact evaluation and to identify steps for improvement in relation to four dimensions of their evaluation work: the strategic context; programme design aspects; evaluation design aspects; and </w:t>
      </w:r>
      <w:r w:rsidR="00C545FA">
        <w:t xml:space="preserve">the </w:t>
      </w:r>
      <w:r w:rsidR="0038112D">
        <w:t>framework for implement</w:t>
      </w:r>
      <w:r w:rsidR="00C545FA">
        <w:t>ing</w:t>
      </w:r>
      <w:r w:rsidR="0038112D">
        <w:t xml:space="preserve"> and learning from evaluation. </w:t>
      </w:r>
    </w:p>
    <w:p w14:paraId="36D87C5B" w14:textId="39C6E28D" w:rsidR="00B737E4" w:rsidRPr="005428FD" w:rsidRDefault="000D1DB7" w:rsidP="005428FD">
      <w:pPr>
        <w:pStyle w:val="Heading2"/>
      </w:pPr>
      <w:bookmarkStart w:id="6" w:name="_Toc205504248"/>
      <w:r w:rsidRPr="005428FD">
        <w:t>Why was th</w:t>
      </w:r>
      <w:r w:rsidR="007E32EA" w:rsidRPr="005428FD">
        <w:t>is</w:t>
      </w:r>
      <w:r w:rsidRPr="005428FD">
        <w:t xml:space="preserve"> project undertaken?</w:t>
      </w:r>
      <w:bookmarkEnd w:id="6"/>
      <w:r w:rsidRPr="005428FD">
        <w:t xml:space="preserve"> </w:t>
      </w:r>
    </w:p>
    <w:p w14:paraId="72CDFBC9" w14:textId="0B62BFB2" w:rsidR="003B6D59" w:rsidRDefault="00CD575D" w:rsidP="00D93246">
      <w:r>
        <w:t>The period since the original standards of ev</w:t>
      </w:r>
      <w:r w:rsidR="006A661F">
        <w:t>idence</w:t>
      </w:r>
      <w:r>
        <w:t xml:space="preserve"> were first developed has been a </w:t>
      </w:r>
      <w:r w:rsidR="00730967">
        <w:t>time</w:t>
      </w:r>
      <w:r>
        <w:t xml:space="preserve"> of significant change in the English </w:t>
      </w:r>
      <w:r w:rsidR="0011339E">
        <w:t>higher education</w:t>
      </w:r>
      <w:r>
        <w:t xml:space="preserve"> landscape</w:t>
      </w:r>
      <w:r w:rsidR="008E231E">
        <w:t xml:space="preserve">. </w:t>
      </w:r>
      <w:r>
        <w:t xml:space="preserve">The </w:t>
      </w:r>
      <w:r w:rsidR="00C21A10">
        <w:t xml:space="preserve">establishment of the </w:t>
      </w:r>
      <w:proofErr w:type="spellStart"/>
      <w:r>
        <w:t>OfS</w:t>
      </w:r>
      <w:proofErr w:type="spellEnd"/>
      <w:r>
        <w:t>, has brought together regulatory and funding levers. Access and Participation Plans (APPs) operate alongside the general ‘conditions of registration’ (minimum expected performance measures) which funded providers must conform to (</w:t>
      </w:r>
      <w:proofErr w:type="spellStart"/>
      <w:r>
        <w:t>OfS</w:t>
      </w:r>
      <w:proofErr w:type="spellEnd"/>
      <w:r>
        <w:t>, 2022)</w:t>
      </w:r>
      <w:r w:rsidR="004D4BF2">
        <w:rPr>
          <w:rStyle w:val="FootnoteReference"/>
        </w:rPr>
        <w:footnoteReference w:id="9"/>
      </w:r>
      <w:r>
        <w:t xml:space="preserve">, </w:t>
      </w:r>
      <w:r w:rsidR="00F94ABB">
        <w:t xml:space="preserve">and the </w:t>
      </w:r>
      <w:r>
        <w:t>monitoring of equality</w:t>
      </w:r>
      <w:r w:rsidR="00AA400A">
        <w:t>,</w:t>
      </w:r>
      <w:r>
        <w:t xml:space="preserve"> access and participation, and quality assurance functions. </w:t>
      </w:r>
      <w:r w:rsidR="0066220E">
        <w:t>T</w:t>
      </w:r>
      <w:r>
        <w:t>eaching excellence is a central theme in the accountability discourse, and an important aspect of quality assurance</w:t>
      </w:r>
      <w:r w:rsidR="005A06B8">
        <w:t>. T</w:t>
      </w:r>
      <w:r>
        <w:t xml:space="preserve">he overlaps between APP and other internal QA and external (regulatory) mechanisms have become more obvious. Coupled with this is increasing concern for student involvement and the importance of demonstrating a ‘whole provider approach’ (WPA). The </w:t>
      </w:r>
      <w:proofErr w:type="spellStart"/>
      <w:r w:rsidR="00263409">
        <w:t>OfS</w:t>
      </w:r>
      <w:proofErr w:type="spellEnd"/>
      <w:r w:rsidR="00263409">
        <w:t xml:space="preserve"> continues</w:t>
      </w:r>
      <w:r w:rsidR="007F7EB6">
        <w:t xml:space="preserve"> to </w:t>
      </w:r>
      <w:r>
        <w:t>emphasis</w:t>
      </w:r>
      <w:r w:rsidR="00263409">
        <w:t>e</w:t>
      </w:r>
      <w:r>
        <w:t xml:space="preserve"> external (as well as internal) knowledge development with requirements to publish evaluation outputs</w:t>
      </w:r>
      <w:r w:rsidR="00C62A0E">
        <w:t>. Th</w:t>
      </w:r>
      <w:r>
        <w:t xml:space="preserve">e </w:t>
      </w:r>
      <w:r w:rsidR="002458C4">
        <w:t>Higher Education Evaluation Library (</w:t>
      </w:r>
      <w:r>
        <w:t>HEEL</w:t>
      </w:r>
      <w:r w:rsidR="002458C4">
        <w:t>)</w:t>
      </w:r>
      <w:r>
        <w:t xml:space="preserve"> </w:t>
      </w:r>
      <w:r w:rsidR="00C62A0E">
        <w:t xml:space="preserve">is being </w:t>
      </w:r>
      <w:r w:rsidR="009E4572">
        <w:t xml:space="preserve">developed </w:t>
      </w:r>
      <w:r>
        <w:t xml:space="preserve">as a repository for sharing evidence. </w:t>
      </w:r>
    </w:p>
    <w:p w14:paraId="47F8E038" w14:textId="77A44F34" w:rsidR="00E0240C" w:rsidRDefault="00E0240C" w:rsidP="00D93246">
      <w:r>
        <w:t xml:space="preserve">In this context, the </w:t>
      </w:r>
      <w:r w:rsidR="00F4124B">
        <w:t>research</w:t>
      </w:r>
      <w:r>
        <w:t xml:space="preserve"> sought to </w:t>
      </w:r>
      <w:r w:rsidR="00BA71B2">
        <w:t>i</w:t>
      </w:r>
      <w:r>
        <w:t>dentify the effect of standards of evidence on current approaches to evaluation</w:t>
      </w:r>
      <w:r w:rsidR="00642128">
        <w:t>, c</w:t>
      </w:r>
      <w:r>
        <w:t xml:space="preserve">onsider how evidence standards for impact evaluation can be extended and enhanced to take account of contextual factors, </w:t>
      </w:r>
      <w:r w:rsidR="00E94659">
        <w:t>and</w:t>
      </w:r>
      <w:r w:rsidR="003A2B45">
        <w:t xml:space="preserve"> to</w:t>
      </w:r>
      <w:r w:rsidR="00E94659">
        <w:t xml:space="preserve"> i</w:t>
      </w:r>
      <w:r>
        <w:t>dentify evaluation approaches that have most influence in different institutional contexts</w:t>
      </w:r>
      <w:r w:rsidR="00D93246">
        <w:t>, in order to p</w:t>
      </w:r>
      <w:r>
        <w:t>roduce recommendations, and materials to support learning from evaluation of widening participation interventions.</w:t>
      </w:r>
    </w:p>
    <w:p w14:paraId="06A1B6F0" w14:textId="63FBEA33" w:rsidR="00772DBA" w:rsidRPr="00772DBA" w:rsidRDefault="00613FEB" w:rsidP="00AE610F">
      <w:pPr>
        <w:pStyle w:val="Heading2"/>
      </w:pPr>
      <w:bookmarkStart w:id="7" w:name="_Toc205504249"/>
      <w:r>
        <w:t>How was the research undertaken?</w:t>
      </w:r>
      <w:bookmarkEnd w:id="7"/>
      <w:r>
        <w:t xml:space="preserve">  </w:t>
      </w:r>
    </w:p>
    <w:p w14:paraId="3999C417" w14:textId="113B9DF5" w:rsidR="004D04FA" w:rsidRDefault="00A6293F" w:rsidP="009605C7">
      <w:r>
        <w:t xml:space="preserve"> </w:t>
      </w:r>
      <w:r w:rsidR="00766A4D">
        <w:t>This was a collaborative project involving in-depth research and a collective consultation process with seven case institutions which were chosen to represent the diversity of provision across the English higher education sector. A reference group supported the reporting and w</w:t>
      </w:r>
      <w:r w:rsidR="00C21A10">
        <w:t>as</w:t>
      </w:r>
      <w:r w:rsidR="00766A4D">
        <w:t xml:space="preserve"> involved in agreeing the outputs. </w:t>
      </w:r>
      <w:r w:rsidR="00AE610F">
        <w:t xml:space="preserve">Information on the research partners and methods are given in Annex 3. </w:t>
      </w:r>
    </w:p>
    <w:p w14:paraId="39D2D446" w14:textId="77777777" w:rsidR="00AB7812" w:rsidRDefault="00AB7812" w:rsidP="00AE610F">
      <w:pPr>
        <w:pStyle w:val="Heading2"/>
      </w:pPr>
      <w:bookmarkStart w:id="8" w:name="_Toc205504250"/>
      <w:r>
        <w:t>This report</w:t>
      </w:r>
      <w:bookmarkEnd w:id="8"/>
    </w:p>
    <w:p w14:paraId="68264AC8" w14:textId="77777777" w:rsidR="00AB7812" w:rsidRDefault="00AB7812" w:rsidP="007A1EA1">
      <w:r>
        <w:t xml:space="preserve">Section 1 recaps the background, aims and objectives of the project and the approach taken to undertaking the research. </w:t>
      </w:r>
    </w:p>
    <w:p w14:paraId="200FD431" w14:textId="77777777" w:rsidR="00AB7812" w:rsidRDefault="00AB7812" w:rsidP="007A1EA1">
      <w:r>
        <w:t>Section 2 draws out findings from the research in relation to how providers have engaged with standards of evidence, the issues emerging for evaluation capability development.</w:t>
      </w:r>
    </w:p>
    <w:p w14:paraId="1A4C271B" w14:textId="77777777" w:rsidR="00AB7812" w:rsidRDefault="00AB7812" w:rsidP="007A1EA1">
      <w:r>
        <w:t xml:space="preserve">Section 3 discusses how the standards are conceptualised in the field and the types/levels discourse underpinning the application of evidence standards. </w:t>
      </w:r>
    </w:p>
    <w:p w14:paraId="7684FF56" w14:textId="77777777" w:rsidR="00AB7812" w:rsidRDefault="00AB7812" w:rsidP="007A1EA1">
      <w:r>
        <w:t xml:space="preserve">Section 4 explores developments in the context for access and participation, the provider level considerations, and resulting implications for the application of the standards for evidence-based practice. </w:t>
      </w:r>
    </w:p>
    <w:p w14:paraId="67447FD9" w14:textId="03A26960" w:rsidR="00AB7812" w:rsidRDefault="00AB7812" w:rsidP="007A1EA1">
      <w:r>
        <w:t xml:space="preserve">Section 5 provides some conclusions and sets out recommendations emerging from the project for the </w:t>
      </w:r>
      <w:proofErr w:type="spellStart"/>
      <w:r>
        <w:t>OfS</w:t>
      </w:r>
      <w:proofErr w:type="spellEnd"/>
      <w:r>
        <w:t>.</w:t>
      </w:r>
    </w:p>
    <w:p w14:paraId="6F162A35" w14:textId="77777777" w:rsidR="003A349A" w:rsidRDefault="00AB7812" w:rsidP="006E73C1">
      <w:r>
        <w:t xml:space="preserve">Annex 1 </w:t>
      </w:r>
      <w:r w:rsidR="0047055F">
        <w:t>describes the research method.</w:t>
      </w:r>
      <w:r w:rsidR="006E73C1">
        <w:t xml:space="preserve"> </w:t>
      </w:r>
    </w:p>
    <w:p w14:paraId="77AF8F6B" w14:textId="77777777" w:rsidR="003A349A" w:rsidRDefault="0047055F" w:rsidP="006E73C1">
      <w:r>
        <w:t xml:space="preserve">Annex 2 </w:t>
      </w:r>
      <w:r w:rsidR="00AB7812">
        <w:t xml:space="preserve">suggests potential enhancements to the standards framework. </w:t>
      </w:r>
    </w:p>
    <w:p w14:paraId="633F1395" w14:textId="405E2B4A" w:rsidR="008B27AE" w:rsidRDefault="00AB7812" w:rsidP="006E73C1">
      <w:r>
        <w:t xml:space="preserve">Annex </w:t>
      </w:r>
      <w:r w:rsidR="0047055F">
        <w:t>3</w:t>
      </w:r>
      <w:r>
        <w:t xml:space="preserve"> suggests an approach to integrating impact evidence with other types of evaluation.  </w:t>
      </w:r>
    </w:p>
    <w:p w14:paraId="471DE49D" w14:textId="29ED865C" w:rsidR="00473798" w:rsidRPr="00473798" w:rsidRDefault="0095238A" w:rsidP="008B27AE">
      <w:pPr>
        <w:pStyle w:val="Heading1"/>
      </w:pPr>
      <w:bookmarkStart w:id="9" w:name="_Toc205504251"/>
      <w:r>
        <w:lastRenderedPageBreak/>
        <w:t>IMPLICATIONS OF THE STANDARDS OF EVIDENCE</w:t>
      </w:r>
      <w:bookmarkEnd w:id="9"/>
    </w:p>
    <w:p w14:paraId="6189AD42" w14:textId="224CF193" w:rsidR="00734C0E" w:rsidRDefault="00012A46" w:rsidP="008B27AE">
      <w:pPr>
        <w:keepNext/>
      </w:pPr>
      <w:r>
        <w:t>Th</w:t>
      </w:r>
      <w:r w:rsidR="00811C88">
        <w:t xml:space="preserve">is section </w:t>
      </w:r>
      <w:r w:rsidR="00E6522F">
        <w:t>discusses</w:t>
      </w:r>
      <w:r>
        <w:t xml:space="preserve"> ways in which the</w:t>
      </w:r>
      <w:r w:rsidR="00E9112C">
        <w:t xml:space="preserve"> standards have influenced </w:t>
      </w:r>
      <w:r>
        <w:t>access and participation evaluation</w:t>
      </w:r>
      <w:r w:rsidR="00E9112C">
        <w:t xml:space="preserve"> work</w:t>
      </w:r>
      <w:r>
        <w:t xml:space="preserve">. The </w:t>
      </w:r>
      <w:r w:rsidR="002C7103">
        <w:t>findings are for</w:t>
      </w:r>
      <w:r w:rsidR="00D0348B">
        <w:t xml:space="preserve"> </w:t>
      </w:r>
      <w:r w:rsidR="000E574E">
        <w:t>provider</w:t>
      </w:r>
      <w:r>
        <w:t>s included in the research, however, the</w:t>
      </w:r>
      <w:r w:rsidR="006B2CA4">
        <w:t>re was significant</w:t>
      </w:r>
      <w:r>
        <w:t xml:space="preserve"> commonality in themes emerging</w:t>
      </w:r>
      <w:r w:rsidR="006B2CA4">
        <w:t>, and given the diverse sample</w:t>
      </w:r>
      <w:r w:rsidR="00D0348B">
        <w:t xml:space="preserve">, this </w:t>
      </w:r>
      <w:r>
        <w:t xml:space="preserve">suggests these insights are likely </w:t>
      </w:r>
      <w:r w:rsidR="006B2CA4">
        <w:t>to</w:t>
      </w:r>
      <w:r>
        <w:t xml:space="preserve"> resonate across the English </w:t>
      </w:r>
      <w:r w:rsidR="000E574E">
        <w:t>higher education</w:t>
      </w:r>
      <w:r>
        <w:t xml:space="preserve"> </w:t>
      </w:r>
      <w:proofErr w:type="gramStart"/>
      <w:r>
        <w:t>sector as a whole</w:t>
      </w:r>
      <w:proofErr w:type="gramEnd"/>
      <w:r>
        <w:t xml:space="preserve">. </w:t>
      </w:r>
    </w:p>
    <w:tbl>
      <w:tblPr>
        <w:tblStyle w:val="TableGrid"/>
        <w:tblW w:w="0" w:type="auto"/>
        <w:tblLook w:val="04A0" w:firstRow="1" w:lastRow="0" w:firstColumn="1" w:lastColumn="0" w:noHBand="0" w:noVBand="1"/>
      </w:tblPr>
      <w:tblGrid>
        <w:gridCol w:w="9493"/>
      </w:tblGrid>
      <w:tr w:rsidR="00940C00" w14:paraId="03975B16" w14:textId="77777777" w:rsidTr="00AB4665">
        <w:tc>
          <w:tcPr>
            <w:tcW w:w="9493" w:type="dxa"/>
          </w:tcPr>
          <w:p w14:paraId="5303502E" w14:textId="77777777" w:rsidR="00940C00" w:rsidRPr="00AF5E02" w:rsidRDefault="00940C00" w:rsidP="009605C7">
            <w:pPr>
              <w:pStyle w:val="Heading4"/>
              <w:keepNext w:val="0"/>
              <w:keepLines w:val="0"/>
            </w:pPr>
            <w:r>
              <w:t>Key Findings</w:t>
            </w:r>
          </w:p>
          <w:p w14:paraId="078D8E3A" w14:textId="1B339545" w:rsidR="00A20DA0" w:rsidRDefault="00940C00" w:rsidP="009605C7">
            <w:r>
              <w:t xml:space="preserve">The research highlighted that the standards of evidence are </w:t>
            </w:r>
            <w:r w:rsidR="00C21A10">
              <w:t>supporting</w:t>
            </w:r>
            <w:r>
              <w:t xml:space="preserve"> communication regarding the evaluations taking place within higher education providers to review access and participation work, and that they have played a</w:t>
            </w:r>
            <w:r w:rsidR="00F51BC0">
              <w:t xml:space="preserve"> </w:t>
            </w:r>
            <w:r>
              <w:t xml:space="preserve">role in evaluation capability building. The standards have </w:t>
            </w:r>
            <w:r w:rsidR="00EA05CB">
              <w:t>underpinned</w:t>
            </w:r>
            <w:r>
              <w:t xml:space="preserve"> developments in terms of the overall evaluation strategy; in relation to decisions </w:t>
            </w:r>
            <w:r w:rsidR="007E7674">
              <w:t>about</w:t>
            </w:r>
            <w:r>
              <w:t xml:space="preserve"> how to evaluate specific interventions are made and the types of evaluation that are put in place; and in terms of developing understanding of what counts as useful evidence for decision-making amongst practitioners and evaluators. </w:t>
            </w:r>
          </w:p>
          <w:p w14:paraId="30035F32" w14:textId="1271BA90" w:rsidR="00940C00" w:rsidRDefault="00A20DA0" w:rsidP="009605C7">
            <w:r>
              <w:t xml:space="preserve">The standards of evidence and the associated self-assessment tool have pushed providers to </w:t>
            </w:r>
            <w:r w:rsidR="00CC361B">
              <w:t>implement</w:t>
            </w:r>
            <w:r>
              <w:t xml:space="preserve"> increasingly robust approaches to assessing what difference their interventions are making to outcomes and getting greater surety that what they </w:t>
            </w:r>
            <w:r w:rsidR="000916A6">
              <w:t>are delivering</w:t>
            </w:r>
            <w:r>
              <w:t xml:space="preserve"> is making a difference. The</w:t>
            </w:r>
            <w:r w:rsidR="009E269C">
              <w:t xml:space="preserve"> standards</w:t>
            </w:r>
            <w:r>
              <w:t xml:space="preserve"> support </w:t>
            </w:r>
            <w:r w:rsidR="005B7E19">
              <w:t xml:space="preserve">the </w:t>
            </w:r>
            <w:proofErr w:type="gramStart"/>
            <w:r>
              <w:t>decision making</w:t>
            </w:r>
            <w:proofErr w:type="gramEnd"/>
            <w:r>
              <w:t xml:space="preserve"> </w:t>
            </w:r>
            <w:r w:rsidR="00144729">
              <w:t>process</w:t>
            </w:r>
            <w:r w:rsidR="00FF2F49">
              <w:t xml:space="preserve">es </w:t>
            </w:r>
            <w:r w:rsidR="00144729">
              <w:t xml:space="preserve">at </w:t>
            </w:r>
            <w:r w:rsidR="00FF2F49">
              <w:t>project, programme</w:t>
            </w:r>
            <w:r w:rsidR="00144729">
              <w:t xml:space="preserve"> an</w:t>
            </w:r>
            <w:r w:rsidR="009E269C">
              <w:t>d</w:t>
            </w:r>
            <w:r w:rsidR="00144729">
              <w:t xml:space="preserve"> </w:t>
            </w:r>
            <w:r w:rsidR="005B7E19">
              <w:t>institutional</w:t>
            </w:r>
            <w:r w:rsidR="00144729">
              <w:t xml:space="preserve"> level</w:t>
            </w:r>
            <w:r w:rsidR="001C4F7D">
              <w:t>s</w:t>
            </w:r>
            <w:r w:rsidR="009E269C">
              <w:t xml:space="preserve">. </w:t>
            </w:r>
            <w:r w:rsidR="001C4F7D">
              <w:t>They support</w:t>
            </w:r>
            <w:r w:rsidR="00F87A32">
              <w:t xml:space="preserve"> planning and </w:t>
            </w:r>
            <w:r w:rsidR="001873AB">
              <w:t xml:space="preserve">have contributed to </w:t>
            </w:r>
            <w:r>
              <w:t xml:space="preserve">good practice approaches </w:t>
            </w:r>
            <w:r w:rsidR="001873AB">
              <w:t xml:space="preserve">particularly in relation to building the rationale for </w:t>
            </w:r>
            <w:r w:rsidR="00F136E5">
              <w:t>interventions and obtaining clarity of outcomes and impacts</w:t>
            </w:r>
            <w:r w:rsidR="00382715">
              <w:t xml:space="preserve"> using </w:t>
            </w:r>
            <w:r w:rsidR="00F136E5">
              <w:t>theory of change</w:t>
            </w:r>
            <w:r>
              <w:t xml:space="preserve">.  </w:t>
            </w:r>
          </w:p>
          <w:p w14:paraId="2538801B" w14:textId="6FD132CB" w:rsidR="00940C00" w:rsidRDefault="00940C00" w:rsidP="009605C7">
            <w:r>
              <w:t>The standards provide a ‘</w:t>
            </w:r>
            <w:r w:rsidRPr="007A1FF1">
              <w:rPr>
                <w:i/>
                <w:iCs/>
              </w:rPr>
              <w:t>common language’</w:t>
            </w:r>
            <w:r>
              <w:t xml:space="preserve"> and a ‘</w:t>
            </w:r>
            <w:r w:rsidRPr="007A1FF1">
              <w:rPr>
                <w:i/>
                <w:iCs/>
              </w:rPr>
              <w:t>touchstone</w:t>
            </w:r>
            <w:r>
              <w:t>’ for the sector on evaluation. However, there is also the danger that evidence types tend to be conceptualised rather broadly, which may limit the extent to which the standards can be practically useful for the purpose of further impact evidence strengthening across the sector. There is a danger of the standards becoming diluted and a ’</w:t>
            </w:r>
            <w:r w:rsidR="00A7576E">
              <w:t>shorthand</w:t>
            </w:r>
            <w:r>
              <w:t xml:space="preserve">’ for a methodological distinction between </w:t>
            </w:r>
            <w:r w:rsidR="00471E57">
              <w:t xml:space="preserve">experimental, </w:t>
            </w:r>
            <w:r>
              <w:t xml:space="preserve">quantitative </w:t>
            </w:r>
            <w:r w:rsidR="004F6F7B">
              <w:t>and</w:t>
            </w:r>
            <w:r>
              <w:t xml:space="preserve"> qualitative </w:t>
            </w:r>
            <w:r w:rsidR="004F6F7B">
              <w:t xml:space="preserve">methods and </w:t>
            </w:r>
            <w:r w:rsidR="00471E57">
              <w:t xml:space="preserve">are </w:t>
            </w:r>
            <w:r w:rsidR="004F6F7B">
              <w:t xml:space="preserve">applied not just to </w:t>
            </w:r>
            <w:r w:rsidR="006E37DF">
              <w:t>imp</w:t>
            </w:r>
            <w:r w:rsidR="000B5133">
              <w:t xml:space="preserve">act </w:t>
            </w:r>
            <w:r>
              <w:t xml:space="preserve">evaluation </w:t>
            </w:r>
            <w:r w:rsidR="004F6F7B">
              <w:t>but</w:t>
            </w:r>
            <w:r w:rsidR="000B5133">
              <w:t xml:space="preserve"> evaluation </w:t>
            </w:r>
            <w:r>
              <w:t xml:space="preserve">in general. </w:t>
            </w:r>
          </w:p>
        </w:tc>
      </w:tr>
    </w:tbl>
    <w:p w14:paraId="2D4B220C" w14:textId="77777777" w:rsidR="00683C86" w:rsidRPr="00683C86" w:rsidRDefault="00683C86" w:rsidP="00683C86">
      <w:pPr>
        <w:pStyle w:val="Gap"/>
        <w:rPr>
          <w:sz w:val="2"/>
          <w:szCs w:val="4"/>
        </w:rPr>
      </w:pPr>
      <w:bookmarkStart w:id="10" w:name="_Toc204556345"/>
      <w:bookmarkStart w:id="11" w:name="_Toc204556556"/>
    </w:p>
    <w:p w14:paraId="60C95B3E" w14:textId="77777777" w:rsidR="00B84350" w:rsidRDefault="00B84350" w:rsidP="00B84350">
      <w:pPr>
        <w:pStyle w:val="Heading2"/>
      </w:pPr>
      <w:bookmarkStart w:id="12" w:name="_Toc205504252"/>
      <w:bookmarkEnd w:id="10"/>
      <w:bookmarkEnd w:id="11"/>
      <w:r>
        <w:t>Feedback from the key informants on the implications of the standards of evidence</w:t>
      </w:r>
      <w:bookmarkEnd w:id="12"/>
      <w:r>
        <w:t xml:space="preserve"> </w:t>
      </w:r>
    </w:p>
    <w:p w14:paraId="47607790" w14:textId="77777777" w:rsidR="00044764" w:rsidRPr="00044764" w:rsidRDefault="00044764" w:rsidP="00044764">
      <w:pPr>
        <w:pStyle w:val="Gap"/>
        <w:rPr>
          <w:sz w:val="2"/>
          <w:szCs w:val="2"/>
        </w:rPr>
      </w:pPr>
    </w:p>
    <w:p w14:paraId="693D9D97" w14:textId="2ADB66BC" w:rsidR="00621082" w:rsidRDefault="006C7AC7" w:rsidP="00EC1C68">
      <w:pPr>
        <w:pStyle w:val="Heading3"/>
      </w:pPr>
      <w:bookmarkStart w:id="13" w:name="_Toc204556346"/>
      <w:bookmarkStart w:id="14" w:name="_Toc204556557"/>
      <w:bookmarkStart w:id="15" w:name="_Toc205033880"/>
      <w:bookmarkStart w:id="16" w:name="_Toc205498239"/>
      <w:bookmarkStart w:id="17" w:name="_Toc205504253"/>
      <w:r>
        <w:t>2</w:t>
      </w:r>
      <w:r w:rsidR="00522B3B">
        <w:t>.</w:t>
      </w:r>
      <w:r w:rsidR="00044764">
        <w:t>1</w:t>
      </w:r>
      <w:r w:rsidR="00522B3B">
        <w:t>.</w:t>
      </w:r>
      <w:r w:rsidR="00044764">
        <w:t>1</w:t>
      </w:r>
      <w:r w:rsidR="00522B3B">
        <w:t xml:space="preserve"> </w:t>
      </w:r>
      <w:r w:rsidR="00FD7B23">
        <w:t xml:space="preserve">A ‘common language’ </w:t>
      </w:r>
      <w:r w:rsidR="00B50694">
        <w:t>when referring to evaluations</w:t>
      </w:r>
      <w:bookmarkEnd w:id="13"/>
      <w:bookmarkEnd w:id="14"/>
      <w:bookmarkEnd w:id="15"/>
      <w:bookmarkEnd w:id="16"/>
      <w:bookmarkEnd w:id="17"/>
    </w:p>
    <w:p w14:paraId="27FA5D77" w14:textId="3639B3D8" w:rsidR="00123ECE" w:rsidRDefault="0021255B" w:rsidP="00465270">
      <w:r>
        <w:t xml:space="preserve">The standards </w:t>
      </w:r>
      <w:r w:rsidR="00342984">
        <w:t xml:space="preserve">of evidence </w:t>
      </w:r>
      <w:r>
        <w:t xml:space="preserve">were described as a ‘common language’ and </w:t>
      </w:r>
      <w:r w:rsidR="000A0DE7">
        <w:t xml:space="preserve">a </w:t>
      </w:r>
      <w:r w:rsidR="00B33B9A">
        <w:t>‘</w:t>
      </w:r>
      <w:r w:rsidR="000A0DE7">
        <w:t>touchstone</w:t>
      </w:r>
      <w:r w:rsidR="00B33B9A">
        <w:t>’</w:t>
      </w:r>
      <w:r w:rsidR="000A0DE7">
        <w:t xml:space="preserve"> for the </w:t>
      </w:r>
      <w:r w:rsidR="00B33B9A">
        <w:t xml:space="preserve">HE </w:t>
      </w:r>
      <w:proofErr w:type="gramStart"/>
      <w:r w:rsidR="000A0DE7">
        <w:t>sector</w:t>
      </w:r>
      <w:proofErr w:type="gramEnd"/>
      <w:r w:rsidR="000A0DE7">
        <w:t xml:space="preserve">. </w:t>
      </w:r>
      <w:r w:rsidR="007D123A">
        <w:t>Overall, t</w:t>
      </w:r>
      <w:r w:rsidR="008339B9">
        <w:t xml:space="preserve">here </w:t>
      </w:r>
      <w:r w:rsidR="00157C59">
        <w:t>wa</w:t>
      </w:r>
      <w:r w:rsidR="00465270">
        <w:t xml:space="preserve">s a </w:t>
      </w:r>
      <w:r w:rsidR="00F95B03">
        <w:t xml:space="preserve">strong </w:t>
      </w:r>
      <w:r w:rsidR="00465270">
        <w:t xml:space="preserve">sense that colleagues recognise the importance of </w:t>
      </w:r>
      <w:r w:rsidR="00F7067D">
        <w:t xml:space="preserve">standards and </w:t>
      </w:r>
      <w:r w:rsidR="001874DA">
        <w:t xml:space="preserve">are </w:t>
      </w:r>
      <w:r w:rsidR="00F7067D">
        <w:t xml:space="preserve">making efforts to </w:t>
      </w:r>
      <w:r w:rsidR="007D123A">
        <w:t>striv</w:t>
      </w:r>
      <w:r w:rsidR="00F7067D">
        <w:t>e</w:t>
      </w:r>
      <w:r w:rsidR="007D123A">
        <w:t xml:space="preserve"> for increasingly stronger evidence</w:t>
      </w:r>
      <w:r w:rsidR="00123ECE">
        <w:t xml:space="preserve"> of the difference that investment in access and participation is making</w:t>
      </w:r>
      <w:r w:rsidR="00157C59">
        <w:t xml:space="preserve">. </w:t>
      </w:r>
    </w:p>
    <w:p w14:paraId="7C900DE5" w14:textId="77777777" w:rsidR="0094127F" w:rsidRDefault="0094127F" w:rsidP="00140B2F">
      <w:pPr>
        <w:ind w:left="567"/>
        <w:rPr>
          <w:i/>
          <w:iCs/>
        </w:rPr>
      </w:pPr>
      <w:r w:rsidRPr="008F0E23">
        <w:rPr>
          <w:i/>
          <w:iCs/>
        </w:rPr>
        <w:t xml:space="preserve">The sector </w:t>
      </w:r>
      <w:proofErr w:type="gramStart"/>
      <w:r w:rsidRPr="008F0E23">
        <w:rPr>
          <w:i/>
          <w:iCs/>
        </w:rPr>
        <w:t>as a whole I’d</w:t>
      </w:r>
      <w:proofErr w:type="gramEnd"/>
      <w:r w:rsidRPr="008F0E23">
        <w:rPr>
          <w:i/>
          <w:iCs/>
        </w:rPr>
        <w:t xml:space="preserve"> say has moved from student quotes - about the lovely time etc – to prove </w:t>
      </w:r>
      <w:proofErr w:type="gramStart"/>
      <w:r w:rsidRPr="008F0E23">
        <w:rPr>
          <w:i/>
          <w:iCs/>
        </w:rPr>
        <w:t>more and more</w:t>
      </w:r>
      <w:proofErr w:type="gramEnd"/>
      <w:r w:rsidRPr="008F0E23">
        <w:rPr>
          <w:i/>
          <w:iCs/>
        </w:rPr>
        <w:t xml:space="preserve"> that we are doing things for good impact. It forces us to the rationale, and to focus on impact </w:t>
      </w:r>
      <w:r>
        <w:rPr>
          <w:i/>
          <w:iCs/>
        </w:rPr>
        <w:t>as well as</w:t>
      </w:r>
      <w:r w:rsidRPr="008F0E23">
        <w:rPr>
          <w:i/>
          <w:iCs/>
        </w:rPr>
        <w:t xml:space="preserve"> outcomes</w:t>
      </w:r>
      <w:r>
        <w:rPr>
          <w:i/>
          <w:iCs/>
        </w:rPr>
        <w:t xml:space="preserve">. </w:t>
      </w:r>
    </w:p>
    <w:p w14:paraId="4AE05514" w14:textId="768C3B46" w:rsidR="00123ECE" w:rsidRPr="00140B2F" w:rsidRDefault="00AB35A7" w:rsidP="0094127F">
      <w:pPr>
        <w:ind w:left="567"/>
      </w:pPr>
      <w:r w:rsidRPr="007542E8">
        <w:rPr>
          <w:i/>
          <w:iCs/>
        </w:rPr>
        <w:t xml:space="preserve">I think there is that broader understanding of different types of evaluation and how in building our evaluation capacity and </w:t>
      </w:r>
      <w:r w:rsidR="005164C9">
        <w:rPr>
          <w:i/>
          <w:iCs/>
        </w:rPr>
        <w:t>‘</w:t>
      </w:r>
      <w:r w:rsidRPr="007542E8">
        <w:rPr>
          <w:i/>
          <w:iCs/>
        </w:rPr>
        <w:t>journey</w:t>
      </w:r>
      <w:r w:rsidR="005164C9">
        <w:rPr>
          <w:i/>
          <w:iCs/>
        </w:rPr>
        <w:t>’</w:t>
      </w:r>
      <w:r w:rsidRPr="007542E8">
        <w:rPr>
          <w:i/>
          <w:iCs/>
        </w:rPr>
        <w:t xml:space="preserve"> to evidence causality </w:t>
      </w:r>
      <w:r w:rsidR="006055B3">
        <w:rPr>
          <w:i/>
          <w:iCs/>
        </w:rPr>
        <w:t>we</w:t>
      </w:r>
      <w:r w:rsidRPr="007542E8">
        <w:rPr>
          <w:i/>
          <w:iCs/>
        </w:rPr>
        <w:t xml:space="preserve"> move from everything being narrative. I think there's that broader understanding there.</w:t>
      </w:r>
    </w:p>
    <w:p w14:paraId="726B4C5A" w14:textId="5CA4B2B2" w:rsidR="00F7067D" w:rsidRPr="00714920" w:rsidRDefault="00157C59" w:rsidP="00F7067D">
      <w:r>
        <w:t xml:space="preserve">The standards have </w:t>
      </w:r>
      <w:r w:rsidR="00A110A9">
        <w:t xml:space="preserve">brought to the forefront of thinking </w:t>
      </w:r>
      <w:r w:rsidR="00BB256F">
        <w:t xml:space="preserve">the </w:t>
      </w:r>
      <w:r w:rsidR="0006158A">
        <w:t>use of evidence</w:t>
      </w:r>
      <w:r w:rsidR="001D3AE3">
        <w:t xml:space="preserve"> to </w:t>
      </w:r>
      <w:r w:rsidR="00BB256F">
        <w:t xml:space="preserve">assess the difference being made to </w:t>
      </w:r>
      <w:r w:rsidR="00571DD8">
        <w:t xml:space="preserve">student and other outcomes and how to use the evidence to </w:t>
      </w:r>
      <w:r w:rsidR="00590593">
        <w:t xml:space="preserve">make decisions on </w:t>
      </w:r>
      <w:r w:rsidR="00D4382B">
        <w:t xml:space="preserve">APP </w:t>
      </w:r>
      <w:r w:rsidR="00590593">
        <w:t xml:space="preserve">interventions </w:t>
      </w:r>
      <w:r w:rsidR="00D4382B">
        <w:t>using</w:t>
      </w:r>
      <w:r w:rsidR="001D3AE3">
        <w:t xml:space="preserve"> </w:t>
      </w:r>
      <w:r w:rsidR="00D4382B">
        <w:t xml:space="preserve">evaluation </w:t>
      </w:r>
      <w:r w:rsidR="001D3AE3">
        <w:t>evidence</w:t>
      </w:r>
      <w:r w:rsidR="00B001BD">
        <w:t xml:space="preserve">. </w:t>
      </w:r>
    </w:p>
    <w:p w14:paraId="5C270BFF" w14:textId="56016232" w:rsidR="008C7543" w:rsidRDefault="008C7543" w:rsidP="008C7543">
      <w:pPr>
        <w:ind w:left="576"/>
        <w:rPr>
          <w:i/>
          <w:iCs/>
        </w:rPr>
      </w:pPr>
      <w:r w:rsidRPr="00B3467D">
        <w:rPr>
          <w:i/>
          <w:iCs/>
        </w:rPr>
        <w:t xml:space="preserve">It helps the </w:t>
      </w:r>
      <w:r w:rsidR="00B83571">
        <w:t xml:space="preserve">[Widening Participation] </w:t>
      </w:r>
      <w:r w:rsidRPr="00B3467D">
        <w:rPr>
          <w:i/>
          <w:iCs/>
        </w:rPr>
        <w:t xml:space="preserve">Committee know we’re producing things to the way we should be producing them. That we will take next steps and </w:t>
      </w:r>
      <w:r w:rsidR="001B2207">
        <w:rPr>
          <w:i/>
          <w:iCs/>
        </w:rPr>
        <w:t xml:space="preserve">at </w:t>
      </w:r>
      <w:r w:rsidR="00485FF8">
        <w:rPr>
          <w:i/>
          <w:iCs/>
        </w:rPr>
        <w:t xml:space="preserve">the </w:t>
      </w:r>
      <w:r w:rsidRPr="00B3467D">
        <w:rPr>
          <w:i/>
          <w:iCs/>
        </w:rPr>
        <w:t xml:space="preserve">same time look at the ‘so what’ of all of this: what it means for us. And will make sure we’re using </w:t>
      </w:r>
      <w:r w:rsidR="00D4382B">
        <w:rPr>
          <w:i/>
          <w:iCs/>
        </w:rPr>
        <w:t>evaluation</w:t>
      </w:r>
      <w:r w:rsidRPr="00B3467D">
        <w:rPr>
          <w:i/>
          <w:iCs/>
        </w:rPr>
        <w:t xml:space="preserve"> and not just doing it for the sake of it. </w:t>
      </w:r>
    </w:p>
    <w:p w14:paraId="45B00759" w14:textId="0A4BAFF1" w:rsidR="00881D34" w:rsidRDefault="00B321EC" w:rsidP="00C44142">
      <w:pPr>
        <w:ind w:left="576"/>
        <w:rPr>
          <w:i/>
          <w:iCs/>
        </w:rPr>
      </w:pPr>
      <w:r w:rsidRPr="00B123B3">
        <w:rPr>
          <w:i/>
          <w:iCs/>
        </w:rPr>
        <w:t xml:space="preserve">It has helped us feel secure and be more sophisticated with what </w:t>
      </w:r>
      <w:r w:rsidR="00B83571">
        <w:t xml:space="preserve">[evaluation] </w:t>
      </w:r>
      <w:r w:rsidRPr="00B123B3">
        <w:rPr>
          <w:i/>
          <w:iCs/>
        </w:rPr>
        <w:t xml:space="preserve">we do. </w:t>
      </w:r>
    </w:p>
    <w:p w14:paraId="5C8A670F" w14:textId="67BAA25A" w:rsidR="00BF30FF" w:rsidRDefault="008E1587" w:rsidP="001B1E55">
      <w:r>
        <w:t>T</w:t>
      </w:r>
      <w:r w:rsidR="00AB795D">
        <w:t xml:space="preserve">he standards </w:t>
      </w:r>
      <w:r>
        <w:t xml:space="preserve">have been used to underpin discussion </w:t>
      </w:r>
      <w:r w:rsidR="00AB795D">
        <w:t xml:space="preserve">about </w:t>
      </w:r>
      <w:r>
        <w:t>how different approaches to evaluation are possible</w:t>
      </w:r>
      <w:r w:rsidR="00AB795D">
        <w:t xml:space="preserve">, </w:t>
      </w:r>
      <w:r>
        <w:t xml:space="preserve">with an emphasis on </w:t>
      </w:r>
      <w:r w:rsidR="006577C0">
        <w:t>making sure that consideration</w:t>
      </w:r>
      <w:r w:rsidR="00007396">
        <w:t xml:space="preserve"> is</w:t>
      </w:r>
      <w:r w:rsidR="006577C0">
        <w:t xml:space="preserve"> being given to capturing the </w:t>
      </w:r>
      <w:r w:rsidR="00441CDB">
        <w:t xml:space="preserve">outcomes generated by an </w:t>
      </w:r>
      <w:r w:rsidR="006577C0">
        <w:t>intervention</w:t>
      </w:r>
      <w:r w:rsidR="003F6E00">
        <w:t xml:space="preserve"> and the difference </w:t>
      </w:r>
      <w:r w:rsidR="00287735">
        <w:t>the intervention</w:t>
      </w:r>
      <w:r w:rsidR="003F6E00">
        <w:t xml:space="preserve"> has mad</w:t>
      </w:r>
      <w:r w:rsidR="002D6577">
        <w:t>e</w:t>
      </w:r>
      <w:r>
        <w:t xml:space="preserve">. </w:t>
      </w:r>
      <w:r w:rsidR="00383B4F">
        <w:t>However, b</w:t>
      </w:r>
      <w:r w:rsidR="006577C0">
        <w:t xml:space="preserve">eyond this </w:t>
      </w:r>
      <w:r w:rsidR="00383B4F">
        <w:t xml:space="preserve">general </w:t>
      </w:r>
      <w:r w:rsidR="00B517C7">
        <w:t>concern</w:t>
      </w:r>
      <w:r w:rsidR="008E2D73">
        <w:t xml:space="preserve">, </w:t>
      </w:r>
      <w:proofErr w:type="gramStart"/>
      <w:r w:rsidR="00A22818">
        <w:t>it is clear that in-common</w:t>
      </w:r>
      <w:proofErr w:type="gramEnd"/>
      <w:r w:rsidR="00A22818">
        <w:t xml:space="preserve"> ide</w:t>
      </w:r>
      <w:r w:rsidR="00B517C7">
        <w:t xml:space="preserve">as </w:t>
      </w:r>
      <w:r w:rsidR="00A22818">
        <w:t xml:space="preserve">of </w:t>
      </w:r>
      <w:r w:rsidR="00952BF7">
        <w:t>what the</w:t>
      </w:r>
      <w:r w:rsidR="00A22818">
        <w:t xml:space="preserve"> evaluation types denote is conceptualised in a </w:t>
      </w:r>
      <w:r w:rsidR="00952BF7">
        <w:t xml:space="preserve">rather </w:t>
      </w:r>
      <w:r w:rsidR="00A22818">
        <w:t xml:space="preserve">general </w:t>
      </w:r>
      <w:r w:rsidR="007566B8">
        <w:t>way</w:t>
      </w:r>
      <w:r w:rsidR="00376378">
        <w:t>.</w:t>
      </w:r>
      <w:r w:rsidR="00B517C7">
        <w:t xml:space="preserve"> Different audiences engage with the language of the standards to a greater and lesser extent.</w:t>
      </w:r>
      <w:r w:rsidR="00A22818">
        <w:t xml:space="preserve">  </w:t>
      </w:r>
    </w:p>
    <w:p w14:paraId="517B60E9" w14:textId="2D13BB43" w:rsidR="00BF30FF" w:rsidRPr="00BF30FF" w:rsidRDefault="00BF30FF" w:rsidP="00BF30FF">
      <w:pPr>
        <w:ind w:left="576"/>
        <w:rPr>
          <w:i/>
          <w:iCs/>
        </w:rPr>
      </w:pPr>
      <w:r w:rsidRPr="00B513F3">
        <w:rPr>
          <w:i/>
          <w:iCs/>
        </w:rPr>
        <w:lastRenderedPageBreak/>
        <w:t xml:space="preserve">You don't necessarily </w:t>
      </w:r>
      <w:proofErr w:type="gramStart"/>
      <w:r w:rsidRPr="00B513F3">
        <w:rPr>
          <w:i/>
          <w:iCs/>
        </w:rPr>
        <w:t>refer back</w:t>
      </w:r>
      <w:proofErr w:type="gramEnd"/>
      <w:r w:rsidRPr="00B513F3">
        <w:rPr>
          <w:i/>
          <w:iCs/>
        </w:rPr>
        <w:t xml:space="preserve"> to it as a document to be honest, but we sort of think broadly in terms of an evaluation type</w:t>
      </w:r>
      <w:r w:rsidR="005C1690">
        <w:rPr>
          <w:i/>
          <w:iCs/>
        </w:rPr>
        <w:t>,</w:t>
      </w:r>
      <w:r w:rsidRPr="00B513F3">
        <w:rPr>
          <w:i/>
          <w:iCs/>
        </w:rPr>
        <w:t xml:space="preserve"> and because TASO align perhaps broadly with that evaluation types</w:t>
      </w:r>
      <w:r w:rsidR="005C1690">
        <w:rPr>
          <w:i/>
          <w:iCs/>
        </w:rPr>
        <w:t xml:space="preserve">, </w:t>
      </w:r>
      <w:r w:rsidRPr="00B513F3">
        <w:rPr>
          <w:i/>
          <w:iCs/>
        </w:rPr>
        <w:t xml:space="preserve">we've drawn on them. We use the knowledge from them rather than as a document that we </w:t>
      </w:r>
      <w:proofErr w:type="gramStart"/>
      <w:r w:rsidRPr="00B513F3">
        <w:rPr>
          <w:i/>
          <w:iCs/>
        </w:rPr>
        <w:t>refer back</w:t>
      </w:r>
      <w:proofErr w:type="gramEnd"/>
      <w:r w:rsidRPr="00B513F3">
        <w:rPr>
          <w:i/>
          <w:iCs/>
        </w:rPr>
        <w:t xml:space="preserve"> to now in practise.</w:t>
      </w:r>
    </w:p>
    <w:p w14:paraId="173E16B6" w14:textId="00990C2C" w:rsidR="00C7722B" w:rsidRDefault="00C7722B" w:rsidP="00AB35A7">
      <w:pPr>
        <w:ind w:left="576"/>
        <w:rPr>
          <w:i/>
          <w:iCs/>
        </w:rPr>
      </w:pPr>
      <w:r w:rsidRPr="007542E8">
        <w:rPr>
          <w:i/>
          <w:iCs/>
        </w:rPr>
        <w:t>I'm not sure if you said to someone explain to me a Type 2 or give me an example of a Type 2 evaluation, whether they'd be able to articulate it, but I think that there is that broader understanding of different types of evaluation</w:t>
      </w:r>
    </w:p>
    <w:p w14:paraId="0784C431" w14:textId="45EE69AC" w:rsidR="00A22818" w:rsidRPr="00AB35A7" w:rsidRDefault="00A22818" w:rsidP="00AB35A7">
      <w:pPr>
        <w:ind w:left="576"/>
        <w:rPr>
          <w:i/>
          <w:iCs/>
        </w:rPr>
      </w:pPr>
      <w:r w:rsidRPr="007542E8">
        <w:rPr>
          <w:i/>
          <w:iCs/>
        </w:rPr>
        <w:t xml:space="preserve">That language is not as common in our institution internally because </w:t>
      </w:r>
      <w:r>
        <w:rPr>
          <w:i/>
          <w:iCs/>
        </w:rPr>
        <w:t xml:space="preserve">that’s </w:t>
      </w:r>
      <w:r w:rsidRPr="007542E8">
        <w:rPr>
          <w:i/>
          <w:iCs/>
        </w:rPr>
        <w:t xml:space="preserve">probably to do with evaluation resource and capacity and it might only be the people who are very involved in </w:t>
      </w:r>
      <w:r w:rsidR="00402AA3">
        <w:rPr>
          <w:i/>
          <w:iCs/>
        </w:rPr>
        <w:t>access and participation</w:t>
      </w:r>
      <w:r w:rsidRPr="007542E8">
        <w:rPr>
          <w:i/>
          <w:iCs/>
        </w:rPr>
        <w:t xml:space="preserve"> evaluation who really understand. </w:t>
      </w:r>
      <w:r w:rsidR="00197A52">
        <w:rPr>
          <w:i/>
          <w:iCs/>
        </w:rPr>
        <w:t>I</w:t>
      </w:r>
      <w:r w:rsidRPr="007542E8">
        <w:rPr>
          <w:i/>
          <w:iCs/>
        </w:rPr>
        <w:t xml:space="preserve">f you said, oh, it's a Type 2 or a Type 3, it's </w:t>
      </w:r>
      <w:r w:rsidR="006B44CF">
        <w:rPr>
          <w:i/>
          <w:iCs/>
        </w:rPr>
        <w:t>only</w:t>
      </w:r>
      <w:r w:rsidRPr="007542E8">
        <w:rPr>
          <w:i/>
          <w:iCs/>
        </w:rPr>
        <w:t xml:space="preserve"> something that</w:t>
      </w:r>
      <w:r>
        <w:rPr>
          <w:i/>
          <w:iCs/>
        </w:rPr>
        <w:t>’s</w:t>
      </w:r>
      <w:r w:rsidRPr="007542E8">
        <w:rPr>
          <w:i/>
          <w:iCs/>
        </w:rPr>
        <w:t xml:space="preserve"> broadly understood</w:t>
      </w:r>
      <w:r w:rsidR="004971AD">
        <w:rPr>
          <w:i/>
          <w:iCs/>
        </w:rPr>
        <w:t>, e</w:t>
      </w:r>
      <w:r w:rsidRPr="007542E8">
        <w:rPr>
          <w:i/>
          <w:iCs/>
        </w:rPr>
        <w:t>ven within our data</w:t>
      </w:r>
      <w:r w:rsidR="004C04A2">
        <w:rPr>
          <w:i/>
          <w:iCs/>
        </w:rPr>
        <w:t>,</w:t>
      </w:r>
      <w:r w:rsidRPr="007542E8">
        <w:rPr>
          <w:i/>
          <w:iCs/>
        </w:rPr>
        <w:t xml:space="preserve"> research and evaluation working group. </w:t>
      </w:r>
    </w:p>
    <w:p w14:paraId="1AD7A3B6" w14:textId="40EA0D89" w:rsidR="00EA0543" w:rsidRDefault="00293B59" w:rsidP="00EA0543">
      <w:r>
        <w:t>Practitioners and policy makers in general are interested in finding out why as well as what is making a difference</w:t>
      </w:r>
      <w:r w:rsidR="00312E59">
        <w:t xml:space="preserve">, so the interest goes beyond </w:t>
      </w:r>
      <w:r w:rsidR="004A62C2">
        <w:t xml:space="preserve">proving </w:t>
      </w:r>
      <w:r w:rsidR="00312E59">
        <w:t>causality per se</w:t>
      </w:r>
      <w:r w:rsidR="00C23DB7">
        <w:t xml:space="preserve">. </w:t>
      </w:r>
      <w:r w:rsidR="00B0322A">
        <w:t xml:space="preserve">In practice </w:t>
      </w:r>
      <w:r w:rsidR="00D7164B">
        <w:t>the</w:t>
      </w:r>
      <w:r w:rsidR="008657D7">
        <w:t xml:space="preserve"> standards </w:t>
      </w:r>
      <w:r w:rsidR="00D92145">
        <w:t>o</w:t>
      </w:r>
      <w:r w:rsidR="00A07243">
        <w:t xml:space="preserve">f evidence </w:t>
      </w:r>
      <w:r w:rsidR="008657D7">
        <w:t xml:space="preserve">encompass </w:t>
      </w:r>
      <w:r w:rsidR="00A11A3D">
        <w:t xml:space="preserve">a range of </w:t>
      </w:r>
      <w:r w:rsidR="000834EC">
        <w:t xml:space="preserve">different </w:t>
      </w:r>
      <w:r w:rsidR="00A11A3D">
        <w:t>evaluation</w:t>
      </w:r>
      <w:r w:rsidR="000834EC">
        <w:t xml:space="preserve"> purposes</w:t>
      </w:r>
      <w:r w:rsidR="00A11A3D">
        <w:t>, not impact</w:t>
      </w:r>
      <w:r w:rsidR="00C078EB">
        <w:t xml:space="preserve"> </w:t>
      </w:r>
      <w:r w:rsidR="004D1A18">
        <w:t xml:space="preserve">evaluation, </w:t>
      </w:r>
      <w:r w:rsidR="00C078EB">
        <w:t>because</w:t>
      </w:r>
      <w:r w:rsidR="001C1672">
        <w:t xml:space="preserve"> conceptions of Type </w:t>
      </w:r>
      <w:r w:rsidR="004E79B3">
        <w:t xml:space="preserve">1/2 </w:t>
      </w:r>
      <w:r w:rsidR="001C1672">
        <w:t xml:space="preserve">evidence </w:t>
      </w:r>
      <w:r w:rsidR="00524C80">
        <w:t xml:space="preserve">– particularly </w:t>
      </w:r>
      <w:r w:rsidR="00A93757">
        <w:t xml:space="preserve">insights about </w:t>
      </w:r>
      <w:r w:rsidR="0035750F">
        <w:t xml:space="preserve">practice </w:t>
      </w:r>
      <w:r w:rsidR="00524C80">
        <w:t xml:space="preserve">- </w:t>
      </w:r>
      <w:r w:rsidR="00AA17A9">
        <w:t xml:space="preserve">support </w:t>
      </w:r>
      <w:r w:rsidR="007E01B3">
        <w:t xml:space="preserve">the </w:t>
      </w:r>
      <w:r w:rsidR="0047277E">
        <w:t xml:space="preserve">wider </w:t>
      </w:r>
      <w:r w:rsidR="00AA17A9">
        <w:t xml:space="preserve">narrative </w:t>
      </w:r>
      <w:r w:rsidR="0047277E">
        <w:t>about</w:t>
      </w:r>
      <w:r w:rsidR="007E01B3">
        <w:t xml:space="preserve"> </w:t>
      </w:r>
      <w:r w:rsidR="00AA17A9">
        <w:t xml:space="preserve">why </w:t>
      </w:r>
      <w:r w:rsidR="0056460E">
        <w:t>an</w:t>
      </w:r>
      <w:r w:rsidR="00AA17A9">
        <w:t xml:space="preserve"> </w:t>
      </w:r>
      <w:r w:rsidR="000B1383">
        <w:t>intervention</w:t>
      </w:r>
      <w:r w:rsidR="00AA17A9">
        <w:t xml:space="preserve"> might </w:t>
      </w:r>
      <w:proofErr w:type="gramStart"/>
      <w:r w:rsidR="00AA17A9">
        <w:t xml:space="preserve">be considered to </w:t>
      </w:r>
      <w:r w:rsidR="000B1383">
        <w:t>be</w:t>
      </w:r>
      <w:proofErr w:type="gramEnd"/>
      <w:r w:rsidR="000B1383">
        <w:t xml:space="preserve"> </w:t>
      </w:r>
      <w:r w:rsidR="002E33CA">
        <w:t xml:space="preserve">successful (e.g. drawing on </w:t>
      </w:r>
      <w:r w:rsidR="00EA0543">
        <w:t xml:space="preserve">different types of </w:t>
      </w:r>
      <w:proofErr w:type="gramStart"/>
      <w:r w:rsidR="009D3FDA">
        <w:t>implementation</w:t>
      </w:r>
      <w:proofErr w:type="gramEnd"/>
      <w:r w:rsidR="009D3FDA">
        <w:t xml:space="preserve"> and process </w:t>
      </w:r>
      <w:r w:rsidR="00EA0543">
        <w:t xml:space="preserve">evaluation). </w:t>
      </w:r>
    </w:p>
    <w:p w14:paraId="0B5AC00B" w14:textId="4365EEDC" w:rsidR="003E275B" w:rsidRPr="00F15549" w:rsidRDefault="00EA0543" w:rsidP="008064FE">
      <w:pPr>
        <w:ind w:left="578"/>
      </w:pPr>
      <w:r w:rsidRPr="006174CF">
        <w:rPr>
          <w:i/>
          <w:iCs/>
        </w:rPr>
        <w:t>I think the</w:t>
      </w:r>
      <w:r>
        <w:rPr>
          <w:i/>
          <w:iCs/>
        </w:rPr>
        <w:t>re</w:t>
      </w:r>
      <w:r w:rsidRPr="006174CF">
        <w:rPr>
          <w:i/>
          <w:iCs/>
        </w:rPr>
        <w:t xml:space="preserve"> needs to be some sort of recognition that [the standards] are looking at things from a</w:t>
      </w:r>
      <w:r>
        <w:rPr>
          <w:i/>
          <w:iCs/>
        </w:rPr>
        <w:t>n</w:t>
      </w:r>
      <w:r w:rsidRPr="006174CF">
        <w:rPr>
          <w:i/>
          <w:iCs/>
        </w:rPr>
        <w:t xml:space="preserve"> impact evaluation perspective and not necessarily all the other things that evaluation is going to do for you and how you're going to use it</w:t>
      </w:r>
      <w:r w:rsidR="00350A61">
        <w:rPr>
          <w:i/>
          <w:iCs/>
        </w:rPr>
        <w:t xml:space="preserve"> </w:t>
      </w:r>
      <w:r w:rsidR="00350A61" w:rsidRPr="00F15549">
        <w:t>[evidence]</w:t>
      </w:r>
      <w:r w:rsidRPr="00F15549">
        <w:t xml:space="preserve">. </w:t>
      </w:r>
    </w:p>
    <w:p w14:paraId="67F8F93B" w14:textId="335DCAD6" w:rsidR="008E44FA" w:rsidRPr="0053128C" w:rsidRDefault="006C7AC7" w:rsidP="00EC1C68">
      <w:pPr>
        <w:pStyle w:val="Heading3"/>
      </w:pPr>
      <w:bookmarkStart w:id="18" w:name="_Toc204556347"/>
      <w:bookmarkStart w:id="19" w:name="_Toc204556558"/>
      <w:bookmarkStart w:id="20" w:name="_Toc205033881"/>
      <w:bookmarkStart w:id="21" w:name="_Toc205498240"/>
      <w:bookmarkStart w:id="22" w:name="_Toc205504254"/>
      <w:r>
        <w:t>2.2.3</w:t>
      </w:r>
      <w:r w:rsidR="00107187">
        <w:t xml:space="preserve"> </w:t>
      </w:r>
      <w:r w:rsidR="002D70D3">
        <w:t>A d</w:t>
      </w:r>
      <w:r w:rsidR="00D43EC0">
        <w:t>river for</w:t>
      </w:r>
      <w:r w:rsidR="0053128C" w:rsidRPr="0053128C">
        <w:t xml:space="preserve"> </w:t>
      </w:r>
      <w:r w:rsidR="00D94344">
        <w:t xml:space="preserve">impact </w:t>
      </w:r>
      <w:r w:rsidR="0053128C" w:rsidRPr="0053128C">
        <w:t>evaluation capability development</w:t>
      </w:r>
      <w:r w:rsidR="0038509F">
        <w:t xml:space="preserve"> internally</w:t>
      </w:r>
      <w:bookmarkEnd w:id="18"/>
      <w:bookmarkEnd w:id="19"/>
      <w:bookmarkEnd w:id="20"/>
      <w:bookmarkEnd w:id="21"/>
      <w:bookmarkEnd w:id="22"/>
    </w:p>
    <w:p w14:paraId="540D9EEE" w14:textId="7933A795" w:rsidR="00D94344" w:rsidRDefault="002D70D3" w:rsidP="00396F58">
      <w:r>
        <w:t>T</w:t>
      </w:r>
      <w:r w:rsidR="00CF5FA6">
        <w:t>he</w:t>
      </w:r>
      <w:r w:rsidR="00016132">
        <w:t xml:space="preserve"> </w:t>
      </w:r>
      <w:r w:rsidR="0026213C">
        <w:t xml:space="preserve">research identified that </w:t>
      </w:r>
      <w:r w:rsidR="00EE2091">
        <w:t xml:space="preserve">standards </w:t>
      </w:r>
      <w:r w:rsidR="006D089E">
        <w:t>of evidence</w:t>
      </w:r>
      <w:r w:rsidR="00CD0273">
        <w:t xml:space="preserve"> had </w:t>
      </w:r>
      <w:r w:rsidR="0026213C">
        <w:t xml:space="preserve">been important </w:t>
      </w:r>
      <w:r w:rsidR="001109A9">
        <w:t xml:space="preserve">within all types of </w:t>
      </w:r>
      <w:r w:rsidR="008E2D73">
        <w:t>higher education providers</w:t>
      </w:r>
      <w:r w:rsidR="001109A9">
        <w:t xml:space="preserve"> in </w:t>
      </w:r>
      <w:r w:rsidR="00EE2091">
        <w:t xml:space="preserve">framing conversations about evaluation, </w:t>
      </w:r>
      <w:r w:rsidR="00AF32B2">
        <w:t>with</w:t>
      </w:r>
      <w:r w:rsidR="00A04914">
        <w:t xml:space="preserve"> the clear </w:t>
      </w:r>
      <w:r w:rsidR="00AF32B2">
        <w:t>conclusion</w:t>
      </w:r>
      <w:r w:rsidR="00A04914">
        <w:t xml:space="preserve"> that</w:t>
      </w:r>
      <w:r w:rsidR="007C4265">
        <w:t xml:space="preserve"> the standards ha</w:t>
      </w:r>
      <w:r w:rsidR="001109A9">
        <w:t>ve</w:t>
      </w:r>
      <w:r w:rsidR="007C4265">
        <w:t xml:space="preserve"> </w:t>
      </w:r>
      <w:r w:rsidR="00401FF8">
        <w:t xml:space="preserve">helped to </w:t>
      </w:r>
      <w:r w:rsidR="00E35A8A">
        <w:t>push</w:t>
      </w:r>
      <w:r w:rsidR="007C4265">
        <w:t xml:space="preserve"> </w:t>
      </w:r>
      <w:r w:rsidR="0027534A">
        <w:t>provider</w:t>
      </w:r>
      <w:r w:rsidR="00A04914">
        <w:t>s</w:t>
      </w:r>
      <w:r w:rsidR="007C4265">
        <w:t xml:space="preserve"> towards more rigorous and considered </w:t>
      </w:r>
      <w:r w:rsidR="00A30027">
        <w:t xml:space="preserve">evaluation </w:t>
      </w:r>
      <w:r w:rsidR="00401FF8">
        <w:t xml:space="preserve">of outcomes and impact </w:t>
      </w:r>
      <w:r w:rsidR="00A30027">
        <w:t xml:space="preserve">(and </w:t>
      </w:r>
      <w:r w:rsidR="001109A9">
        <w:t xml:space="preserve">certainly </w:t>
      </w:r>
      <w:r w:rsidR="00A30027">
        <w:t xml:space="preserve">away from relying solely on process-related </w:t>
      </w:r>
      <w:r w:rsidR="00F64E44">
        <w:t xml:space="preserve">indicators and measures). </w:t>
      </w:r>
      <w:r w:rsidR="00FD2DCD">
        <w:t>T</w:t>
      </w:r>
      <w:r w:rsidR="0001769B">
        <w:t xml:space="preserve">he </w:t>
      </w:r>
      <w:r w:rsidR="00826708">
        <w:t>standards</w:t>
      </w:r>
      <w:r w:rsidR="0001769B">
        <w:t xml:space="preserve"> are not the only </w:t>
      </w:r>
      <w:r w:rsidR="009048D2">
        <w:t xml:space="preserve">aspect of the </w:t>
      </w:r>
      <w:proofErr w:type="spellStart"/>
      <w:r w:rsidR="009048D2">
        <w:t>OfS’s</w:t>
      </w:r>
      <w:proofErr w:type="spellEnd"/>
      <w:r w:rsidR="009048D2">
        <w:t xml:space="preserve"> evaluation capability building endeavour, </w:t>
      </w:r>
      <w:r w:rsidR="00D55089">
        <w:t xml:space="preserve">but </w:t>
      </w:r>
      <w:r w:rsidR="00CB11C7">
        <w:t xml:space="preserve">they are </w:t>
      </w:r>
      <w:r w:rsidR="00826708">
        <w:t xml:space="preserve">a </w:t>
      </w:r>
      <w:r w:rsidR="00CB11C7">
        <w:t xml:space="preserve">prominent feature and </w:t>
      </w:r>
      <w:r w:rsidR="00D55089">
        <w:t xml:space="preserve">key tenet in what </w:t>
      </w:r>
      <w:r w:rsidR="009E3486">
        <w:t>providers</w:t>
      </w:r>
      <w:r w:rsidR="00D55089">
        <w:t xml:space="preserve"> are being asked to do.</w:t>
      </w:r>
      <w:r w:rsidR="00CB11C7">
        <w:t xml:space="preserve"> </w:t>
      </w:r>
      <w:r w:rsidR="00314A62">
        <w:t>Comments at interview attested to a</w:t>
      </w:r>
      <w:r w:rsidR="004E1D4B">
        <w:t>ctive e</w:t>
      </w:r>
      <w:r w:rsidR="00CB11C7">
        <w:t xml:space="preserve">ngagement with the standards </w:t>
      </w:r>
      <w:r w:rsidR="004E1D4B">
        <w:t xml:space="preserve">as a tool for making improvements </w:t>
      </w:r>
      <w:r w:rsidR="00CB11C7">
        <w:t xml:space="preserve">and </w:t>
      </w:r>
      <w:r w:rsidR="00163C6F">
        <w:t xml:space="preserve">the concern to reach the best </w:t>
      </w:r>
      <w:r w:rsidR="00F70CD8">
        <w:t xml:space="preserve">possible </w:t>
      </w:r>
      <w:r w:rsidR="00163C6F">
        <w:t>solution for APP evaluation</w:t>
      </w:r>
      <w:r w:rsidR="00FD519D">
        <w:t xml:space="preserve"> </w:t>
      </w:r>
      <w:r w:rsidR="00F36072">
        <w:t xml:space="preserve">to inform institutional decision-making. </w:t>
      </w:r>
      <w:r w:rsidR="00D55089">
        <w:t xml:space="preserve"> </w:t>
      </w:r>
    </w:p>
    <w:p w14:paraId="4EEC84DA" w14:textId="4A19D508" w:rsidR="00353322" w:rsidRDefault="00353322" w:rsidP="00353322">
      <w:pPr>
        <w:ind w:left="851"/>
        <w:rPr>
          <w:i/>
          <w:iCs/>
        </w:rPr>
      </w:pPr>
      <w:r w:rsidRPr="008F0E23">
        <w:rPr>
          <w:i/>
          <w:iCs/>
        </w:rPr>
        <w:t xml:space="preserve">It’s the </w:t>
      </w:r>
      <w:r w:rsidR="009A4FD7">
        <w:rPr>
          <w:i/>
          <w:iCs/>
        </w:rPr>
        <w:t>‘</w:t>
      </w:r>
      <w:r w:rsidRPr="008F0E23">
        <w:rPr>
          <w:i/>
          <w:iCs/>
        </w:rPr>
        <w:t>so what?</w:t>
      </w:r>
      <w:r w:rsidR="009A4FD7">
        <w:rPr>
          <w:i/>
          <w:iCs/>
        </w:rPr>
        <w:t>’ t</w:t>
      </w:r>
      <w:r w:rsidRPr="008F0E23">
        <w:rPr>
          <w:i/>
          <w:iCs/>
        </w:rPr>
        <w:t>hat’s important: we’ve assessed oursel</w:t>
      </w:r>
      <w:r>
        <w:rPr>
          <w:i/>
          <w:iCs/>
        </w:rPr>
        <w:t>ves</w:t>
      </w:r>
      <w:r w:rsidRPr="008F0E23">
        <w:rPr>
          <w:i/>
          <w:iCs/>
        </w:rPr>
        <w:t xml:space="preserve"> but now what? At a scrutiny level that involves change – culture change – and having that touchstone makes front and centre that need for causal evidence. </w:t>
      </w:r>
      <w:r>
        <w:rPr>
          <w:i/>
          <w:iCs/>
        </w:rPr>
        <w:t>W</w:t>
      </w:r>
      <w:r w:rsidRPr="008F0E23">
        <w:rPr>
          <w:i/>
          <w:iCs/>
        </w:rPr>
        <w:t xml:space="preserve">e would </w:t>
      </w:r>
      <w:r>
        <w:rPr>
          <w:i/>
          <w:iCs/>
        </w:rPr>
        <w:t>have</w:t>
      </w:r>
      <w:r w:rsidRPr="008F0E23">
        <w:rPr>
          <w:i/>
          <w:iCs/>
        </w:rPr>
        <w:t xml:space="preserve"> done what we did and eventually would have had that reflection – </w:t>
      </w:r>
      <w:r>
        <w:rPr>
          <w:i/>
          <w:iCs/>
        </w:rPr>
        <w:t>but</w:t>
      </w:r>
      <w:r w:rsidRPr="008F0E23">
        <w:rPr>
          <w:i/>
          <w:iCs/>
        </w:rPr>
        <w:t xml:space="preserve"> the </w:t>
      </w:r>
      <w:r w:rsidRPr="00F910B3">
        <w:t xml:space="preserve">[standards] </w:t>
      </w:r>
      <w:r w:rsidRPr="008F0E23">
        <w:rPr>
          <w:i/>
          <w:iCs/>
        </w:rPr>
        <w:t xml:space="preserve">framework forces us to get there quicker. </w:t>
      </w:r>
    </w:p>
    <w:p w14:paraId="411284A3" w14:textId="6A0A5ABF" w:rsidR="00C13A8D" w:rsidRPr="00C13A8D" w:rsidRDefault="00C13A8D" w:rsidP="00C13A8D">
      <w:r>
        <w:t xml:space="preserve">The standards </w:t>
      </w:r>
      <w:r w:rsidR="00445B75">
        <w:t xml:space="preserve">appear to </w:t>
      </w:r>
      <w:r>
        <w:t xml:space="preserve">have been </w:t>
      </w:r>
      <w:r w:rsidR="00052637">
        <w:t xml:space="preserve">instrumental in encouraging more consistency in the approach to collecting evidence </w:t>
      </w:r>
      <w:r w:rsidR="008B5155">
        <w:t xml:space="preserve">within providers, </w:t>
      </w:r>
      <w:r w:rsidR="00251FC7">
        <w:t>and in the systems</w:t>
      </w:r>
      <w:r w:rsidR="005F4D9D">
        <w:t xml:space="preserve"> </w:t>
      </w:r>
      <w:r w:rsidR="00A363FF">
        <w:t xml:space="preserve">to inform the institutional understanding of the access and participation work going on. </w:t>
      </w:r>
      <w:r w:rsidR="00052637">
        <w:t xml:space="preserve"> </w:t>
      </w:r>
    </w:p>
    <w:p w14:paraId="54F03697" w14:textId="2A48400F" w:rsidR="002C2D00" w:rsidRPr="002C2D00" w:rsidRDefault="00BE156C" w:rsidP="002C2D00">
      <w:pPr>
        <w:ind w:left="851"/>
        <w:rPr>
          <w:i/>
          <w:iCs/>
        </w:rPr>
      </w:pPr>
      <w:r w:rsidRPr="00BE156C">
        <w:rPr>
          <w:i/>
          <w:iCs/>
        </w:rPr>
        <w:t>We</w:t>
      </w:r>
      <w:r w:rsidR="003228E0">
        <w:rPr>
          <w:i/>
          <w:iCs/>
        </w:rPr>
        <w:t xml:space="preserve"> we</w:t>
      </w:r>
      <w:r w:rsidRPr="00BE156C">
        <w:rPr>
          <w:i/>
          <w:iCs/>
        </w:rPr>
        <w:t xml:space="preserve">nt from </w:t>
      </w:r>
      <w:r w:rsidR="003228E0">
        <w:rPr>
          <w:i/>
          <w:iCs/>
        </w:rPr>
        <w:t>‘</w:t>
      </w:r>
      <w:r w:rsidRPr="00BE156C">
        <w:rPr>
          <w:i/>
          <w:iCs/>
        </w:rPr>
        <w:t>who knows</w:t>
      </w:r>
      <w:r w:rsidR="003228E0">
        <w:rPr>
          <w:i/>
          <w:iCs/>
        </w:rPr>
        <w:t>?’</w:t>
      </w:r>
      <w:r w:rsidRPr="00BE156C">
        <w:rPr>
          <w:i/>
          <w:iCs/>
        </w:rPr>
        <w:t xml:space="preserve"> to proper tracking, </w:t>
      </w:r>
      <w:r w:rsidR="00F543F6">
        <w:rPr>
          <w:i/>
          <w:iCs/>
        </w:rPr>
        <w:t xml:space="preserve">and </w:t>
      </w:r>
      <w:r w:rsidRPr="00BE156C">
        <w:rPr>
          <w:i/>
          <w:iCs/>
        </w:rPr>
        <w:t xml:space="preserve">competent people to ensure </w:t>
      </w:r>
      <w:r w:rsidR="00F543F6">
        <w:rPr>
          <w:i/>
          <w:iCs/>
        </w:rPr>
        <w:t xml:space="preserve">everyone’s </w:t>
      </w:r>
      <w:r w:rsidRPr="00BE156C">
        <w:rPr>
          <w:i/>
          <w:iCs/>
        </w:rPr>
        <w:t xml:space="preserve">doing things in </w:t>
      </w:r>
      <w:r w:rsidR="00F543F6">
        <w:rPr>
          <w:i/>
          <w:iCs/>
        </w:rPr>
        <w:t xml:space="preserve">the </w:t>
      </w:r>
      <w:r w:rsidRPr="00BE156C">
        <w:rPr>
          <w:i/>
          <w:iCs/>
        </w:rPr>
        <w:t>same way</w:t>
      </w:r>
      <w:r w:rsidR="009F5AA6">
        <w:rPr>
          <w:i/>
          <w:iCs/>
        </w:rPr>
        <w:t xml:space="preserve">. </w:t>
      </w:r>
    </w:p>
    <w:p w14:paraId="13E69A5D" w14:textId="7F3ECA82" w:rsidR="004F26BA" w:rsidRDefault="008609D8" w:rsidP="007C4765">
      <w:r>
        <w:t>In</w:t>
      </w:r>
      <w:r w:rsidR="00E60A0A">
        <w:t xml:space="preserve"> d</w:t>
      </w:r>
      <w:r w:rsidR="00CF3902">
        <w:t>riving forward the overall evaluation effort in provider organisations</w:t>
      </w:r>
      <w:r w:rsidR="00E60A0A">
        <w:t>, the</w:t>
      </w:r>
      <w:r w:rsidR="00CD076F">
        <w:t xml:space="preserve"> research suggests the </w:t>
      </w:r>
      <w:r w:rsidR="00244D26">
        <w:t xml:space="preserve">standards </w:t>
      </w:r>
      <w:r w:rsidR="00A829B7">
        <w:t>put the focuses on devel</w:t>
      </w:r>
      <w:r w:rsidR="008B3C9C">
        <w:t>oping expertise and c</w:t>
      </w:r>
      <w:r w:rsidR="00A829B7">
        <w:t xml:space="preserve">apacity. </w:t>
      </w:r>
      <w:r w:rsidR="004747C0">
        <w:t>The</w:t>
      </w:r>
      <w:r w:rsidR="008B17CF">
        <w:t>re is a</w:t>
      </w:r>
      <w:r w:rsidR="004747C0">
        <w:t xml:space="preserve"> </w:t>
      </w:r>
      <w:r w:rsidR="00993685">
        <w:t>tre</w:t>
      </w:r>
      <w:r w:rsidR="004747C0">
        <w:t>n</w:t>
      </w:r>
      <w:r w:rsidR="00993685">
        <w:t>d to</w:t>
      </w:r>
      <w:r w:rsidR="00D6387F">
        <w:t xml:space="preserve">wards </w:t>
      </w:r>
      <w:r w:rsidR="00993685">
        <w:t>p</w:t>
      </w:r>
      <w:r w:rsidR="00993685" w:rsidRPr="003B06D0">
        <w:t>rofessionalisation of evaluation</w:t>
      </w:r>
      <w:r w:rsidR="00993685">
        <w:t xml:space="preserve"> </w:t>
      </w:r>
      <w:r w:rsidR="009B11FF">
        <w:t xml:space="preserve">roles </w:t>
      </w:r>
      <w:r w:rsidR="00993685">
        <w:t xml:space="preserve">and </w:t>
      </w:r>
      <w:r w:rsidR="00635DF4">
        <w:t>an</w:t>
      </w:r>
      <w:r w:rsidR="00993685">
        <w:t xml:space="preserve"> </w:t>
      </w:r>
      <w:r w:rsidR="00993685" w:rsidRPr="003B06D0">
        <w:t xml:space="preserve">emergence of dedicated institutional evaluation </w:t>
      </w:r>
      <w:r w:rsidR="009B11FF">
        <w:t>posts</w:t>
      </w:r>
      <w:r w:rsidR="00993685">
        <w:t xml:space="preserve"> </w:t>
      </w:r>
      <w:r w:rsidR="008B17CF">
        <w:t>(</w:t>
      </w:r>
      <w:r w:rsidR="00993685">
        <w:t>evidence</w:t>
      </w:r>
      <w:r>
        <w:t>d</w:t>
      </w:r>
      <w:r w:rsidR="00993685">
        <w:t xml:space="preserve"> for example by the increase in job a</w:t>
      </w:r>
      <w:r w:rsidR="004A62C2">
        <w:t>d</w:t>
      </w:r>
      <w:r w:rsidR="00993685">
        <w:t xml:space="preserve">verts </w:t>
      </w:r>
      <w:r w:rsidR="00C91287">
        <w:t>for</w:t>
      </w:r>
      <w:r w:rsidR="00993685">
        <w:t xml:space="preserve"> evaluation </w:t>
      </w:r>
      <w:r w:rsidR="004747C0">
        <w:t>posts</w:t>
      </w:r>
      <w:r w:rsidR="008B17CF">
        <w:t>)</w:t>
      </w:r>
      <w:r w:rsidR="00993685">
        <w:t xml:space="preserve">. There was </w:t>
      </w:r>
      <w:r w:rsidR="005E1C14">
        <w:t>a sense</w:t>
      </w:r>
      <w:r w:rsidR="006A0242">
        <w:t xml:space="preserve"> from</w:t>
      </w:r>
      <w:r w:rsidR="00993685">
        <w:t xml:space="preserve"> field</w:t>
      </w:r>
      <w:r w:rsidR="006A0242">
        <w:t>work</w:t>
      </w:r>
      <w:r w:rsidR="00993685">
        <w:t xml:space="preserve"> that dedicated</w:t>
      </w:r>
      <w:r w:rsidR="006A0242">
        <w:t xml:space="preserve"> posts</w:t>
      </w:r>
      <w:r w:rsidR="00993685">
        <w:t xml:space="preserve"> and specialised expertise were a pre-requisite to meeting heightened expectations for evaluation</w:t>
      </w:r>
      <w:r w:rsidR="00690E0C">
        <w:t xml:space="preserve"> of access and participation activities</w:t>
      </w:r>
      <w:r w:rsidR="00A829B7">
        <w:t xml:space="preserve">. </w:t>
      </w:r>
    </w:p>
    <w:p w14:paraId="17D230D7" w14:textId="7923A030" w:rsidR="00FC3E9F" w:rsidRDefault="00993685" w:rsidP="00FC3E9F">
      <w:pPr>
        <w:ind w:left="720"/>
        <w:rPr>
          <w:i/>
          <w:iCs/>
        </w:rPr>
      </w:pPr>
      <w:r w:rsidRPr="006B2C6F">
        <w:rPr>
          <w:i/>
          <w:iCs/>
        </w:rPr>
        <w:t xml:space="preserve">Professionalisation is </w:t>
      </w:r>
      <w:proofErr w:type="gramStart"/>
      <w:r w:rsidRPr="006B2C6F">
        <w:rPr>
          <w:i/>
          <w:iCs/>
        </w:rPr>
        <w:t>absolutely necessary</w:t>
      </w:r>
      <w:proofErr w:type="gramEnd"/>
      <w:r w:rsidRPr="006B2C6F">
        <w:rPr>
          <w:i/>
          <w:iCs/>
        </w:rPr>
        <w:t xml:space="preserve"> – it’s not fair to lump that on a grade 4 </w:t>
      </w:r>
      <w:r w:rsidR="003D0F20">
        <w:rPr>
          <w:i/>
          <w:iCs/>
        </w:rPr>
        <w:t>widening participation</w:t>
      </w:r>
      <w:r w:rsidRPr="006B2C6F">
        <w:rPr>
          <w:i/>
          <w:iCs/>
        </w:rPr>
        <w:t xml:space="preserve"> manager </w:t>
      </w:r>
      <w:r w:rsidR="00383D74" w:rsidRPr="00383D74">
        <w:t>[r</w:t>
      </w:r>
      <w:r w:rsidRPr="00383D74">
        <w:t>e expertise in quantitative data collectio</w:t>
      </w:r>
      <w:r w:rsidR="00383D74">
        <w:t>n].</w:t>
      </w:r>
      <w:r w:rsidR="009544E3">
        <w:rPr>
          <w:i/>
          <w:iCs/>
        </w:rPr>
        <w:t xml:space="preserve"> </w:t>
      </w:r>
    </w:p>
    <w:p w14:paraId="59F67B51" w14:textId="75A8785A" w:rsidR="0042545F" w:rsidRPr="0042545F" w:rsidRDefault="00F71346" w:rsidP="00FC3E9F">
      <w:pPr>
        <w:ind w:left="720"/>
      </w:pPr>
      <w:r w:rsidRPr="00A8154C">
        <w:rPr>
          <w:i/>
          <w:iCs/>
        </w:rPr>
        <w:t>It’s only really the last few years that we’ve got someone who really understands evaluation and how to do it properly</w:t>
      </w:r>
      <w:r w:rsidRPr="00F71346">
        <w:t>.</w:t>
      </w:r>
    </w:p>
    <w:p w14:paraId="3F407BC7" w14:textId="709866C0" w:rsidR="00444FAC" w:rsidRDefault="00E233C5" w:rsidP="00444FAC">
      <w:r>
        <w:t>A</w:t>
      </w:r>
      <w:r w:rsidR="00993685">
        <w:t xml:space="preserve"> common theme </w:t>
      </w:r>
      <w:r w:rsidR="002920D5">
        <w:t xml:space="preserve">across all cases </w:t>
      </w:r>
      <w:r w:rsidR="00993685">
        <w:t xml:space="preserve">was that </w:t>
      </w:r>
      <w:r w:rsidR="009544E3">
        <w:t>widening participation</w:t>
      </w:r>
      <w:r w:rsidR="00993685">
        <w:t xml:space="preserve"> evaluation is pla</w:t>
      </w:r>
      <w:r w:rsidR="007F61DA">
        <w:t>y</w:t>
      </w:r>
      <w:r w:rsidR="00993685">
        <w:t xml:space="preserve">ing a </w:t>
      </w:r>
      <w:r w:rsidR="007F61DA">
        <w:t>major</w:t>
      </w:r>
      <w:r w:rsidR="00993685">
        <w:t xml:space="preserve"> role in driving forward the overall evaluation effort in the case </w:t>
      </w:r>
      <w:r w:rsidR="00740E42">
        <w:t>providers</w:t>
      </w:r>
      <w:r w:rsidR="00B75CE1">
        <w:t xml:space="preserve"> </w:t>
      </w:r>
      <w:r w:rsidR="007707B0">
        <w:t xml:space="preserve">and is supporting the development </w:t>
      </w:r>
      <w:r w:rsidR="00B75CE1">
        <w:t xml:space="preserve">of a </w:t>
      </w:r>
      <w:r w:rsidR="007707B0">
        <w:t xml:space="preserve">wider </w:t>
      </w:r>
      <w:r w:rsidR="007707B0">
        <w:lastRenderedPageBreak/>
        <w:t xml:space="preserve">institutional </w:t>
      </w:r>
      <w:r w:rsidR="00B75CE1">
        <w:t>culture of evaluation</w:t>
      </w:r>
      <w:r w:rsidR="00EE19FD">
        <w:t>.</w:t>
      </w:r>
      <w:r w:rsidR="006D240C" w:rsidRPr="006D240C">
        <w:t xml:space="preserve"> APP</w:t>
      </w:r>
      <w:r w:rsidR="00F971C4">
        <w:t>s have</w:t>
      </w:r>
      <w:r w:rsidR="006D240C" w:rsidRPr="006D240C">
        <w:t xml:space="preserve"> become an institutional catalyst for evalu</w:t>
      </w:r>
      <w:r w:rsidR="00F971C4">
        <w:t>a</w:t>
      </w:r>
      <w:r w:rsidR="006D240C" w:rsidRPr="006D240C">
        <w:t>tive change</w:t>
      </w:r>
      <w:r w:rsidR="00B47C12">
        <w:t xml:space="preserve">, including </w:t>
      </w:r>
      <w:r w:rsidR="00DA585F">
        <w:t>for</w:t>
      </w:r>
      <w:r w:rsidR="00B47C12">
        <w:t xml:space="preserve"> </w:t>
      </w:r>
      <w:r w:rsidR="006D240C" w:rsidRPr="006D240C">
        <w:t xml:space="preserve">'on course' </w:t>
      </w:r>
      <w:r w:rsidR="00B47C12">
        <w:t>interventions. T</w:t>
      </w:r>
      <w:r w:rsidR="006D240C" w:rsidRPr="006D240C">
        <w:t>his shift has facilitated wider planning/thinking around alignment with institutional priorities</w:t>
      </w:r>
      <w:r w:rsidR="00DA585F">
        <w:t xml:space="preserve">. </w:t>
      </w:r>
      <w:r w:rsidR="007007FB">
        <w:t xml:space="preserve">APP </w:t>
      </w:r>
      <w:r w:rsidR="00444FAC">
        <w:t xml:space="preserve">evaluation </w:t>
      </w:r>
      <w:r w:rsidR="002920D5">
        <w:t>seem</w:t>
      </w:r>
      <w:r w:rsidR="00444FAC">
        <w:t xml:space="preserve">s increasingly important for broader institutional mechanisms for reporting and decision-making (i.e. in addition to being crucial for decision-making for APP specific activities). </w:t>
      </w:r>
      <w:r w:rsidR="00DB7EF1" w:rsidRPr="00B572A7">
        <w:t>Key informants spoke about overlaps between</w:t>
      </w:r>
      <w:r w:rsidR="00690E0C">
        <w:t xml:space="preserve"> APP</w:t>
      </w:r>
      <w:r w:rsidR="00DB7EF1" w:rsidRPr="00B572A7">
        <w:t xml:space="preserve"> evaluation and a range of other regulatory mechanisms </w:t>
      </w:r>
      <w:r w:rsidR="00DB7EF1">
        <w:t>(</w:t>
      </w:r>
      <w:r w:rsidR="00DB7EF1" w:rsidRPr="00B572A7">
        <w:t xml:space="preserve">TEF and B3 conditions), </w:t>
      </w:r>
      <w:r w:rsidR="00B52EAB">
        <w:t xml:space="preserve">and linkages to quality assurance processes. </w:t>
      </w:r>
      <w:r w:rsidR="00444FAC">
        <w:t>Examples included – work in student services; mental health and well-being initiatives; strategy creation/co-creation activities with students; curriculum development initiatives (</w:t>
      </w:r>
      <w:r w:rsidR="000D6F9D">
        <w:t>amongst other things</w:t>
      </w:r>
      <w:r w:rsidR="00444FAC">
        <w:t xml:space="preserve">). </w:t>
      </w:r>
      <w:proofErr w:type="gramStart"/>
      <w:r w:rsidR="00444FAC">
        <w:t>Overall</w:t>
      </w:r>
      <w:proofErr w:type="gramEnd"/>
      <w:r w:rsidR="00444FAC">
        <w:t xml:space="preserve"> there was a sense that the </w:t>
      </w:r>
      <w:r w:rsidR="00690E0C">
        <w:t xml:space="preserve">APP </w:t>
      </w:r>
      <w:r w:rsidR="00444FAC">
        <w:t xml:space="preserve">evaluation </w:t>
      </w:r>
      <w:r w:rsidR="00690E0C">
        <w:t xml:space="preserve">effort </w:t>
      </w:r>
      <w:r w:rsidR="00444FAC">
        <w:t xml:space="preserve">was driving forward the whole institutional approach to evaluation internally. </w:t>
      </w:r>
    </w:p>
    <w:p w14:paraId="27D94508" w14:textId="52B35029" w:rsidR="00444FAC" w:rsidRDefault="00444FAC" w:rsidP="00444FAC">
      <w:pPr>
        <w:ind w:left="567"/>
        <w:rPr>
          <w:i/>
          <w:iCs/>
        </w:rPr>
      </w:pPr>
      <w:r w:rsidRPr="006752EB">
        <w:rPr>
          <w:i/>
          <w:iCs/>
        </w:rPr>
        <w:t>It's shifted the language sub</w:t>
      </w:r>
      <w:r w:rsidR="0073425E">
        <w:rPr>
          <w:i/>
          <w:iCs/>
        </w:rPr>
        <w:t>t</w:t>
      </w:r>
      <w:r w:rsidRPr="006752EB">
        <w:rPr>
          <w:i/>
          <w:iCs/>
        </w:rPr>
        <w:t xml:space="preserve">ly. </w:t>
      </w:r>
      <w:r w:rsidR="00956C11" w:rsidRPr="00956C11">
        <w:t>[In relation to APP evaluation]</w:t>
      </w:r>
      <w:r w:rsidR="00956C11">
        <w:rPr>
          <w:i/>
          <w:iCs/>
        </w:rPr>
        <w:t xml:space="preserve"> we try to </w:t>
      </w:r>
      <w:proofErr w:type="gramStart"/>
      <w:r w:rsidR="00956C11">
        <w:rPr>
          <w:i/>
          <w:iCs/>
        </w:rPr>
        <w:t>say</w:t>
      </w:r>
      <w:proofErr w:type="gramEnd"/>
      <w:r w:rsidR="00956C11">
        <w:rPr>
          <w:i/>
          <w:iCs/>
        </w:rPr>
        <w:t xml:space="preserve"> </w:t>
      </w:r>
      <w:r w:rsidR="00956C11">
        <w:rPr>
          <w:i/>
        </w:rPr>
        <w:t>‘</w:t>
      </w:r>
      <w:r w:rsidRPr="006752EB">
        <w:rPr>
          <w:i/>
          <w:iCs/>
        </w:rPr>
        <w:t>you may not think this is applicable, but it is good practice</w:t>
      </w:r>
      <w:r w:rsidR="00956C11">
        <w:rPr>
          <w:i/>
          <w:iCs/>
        </w:rPr>
        <w:t>’</w:t>
      </w:r>
      <w:r w:rsidRPr="006752EB">
        <w:rPr>
          <w:i/>
          <w:iCs/>
        </w:rPr>
        <w:t xml:space="preserve">. </w:t>
      </w:r>
      <w:r w:rsidR="00112227">
        <w:rPr>
          <w:i/>
          <w:iCs/>
        </w:rPr>
        <w:t>It d</w:t>
      </w:r>
      <w:r w:rsidRPr="006752EB">
        <w:rPr>
          <w:i/>
          <w:iCs/>
        </w:rPr>
        <w:t xml:space="preserve">oesn’t mean </w:t>
      </w:r>
      <w:r w:rsidR="00112227">
        <w:rPr>
          <w:i/>
          <w:iCs/>
        </w:rPr>
        <w:t xml:space="preserve">it’s </w:t>
      </w:r>
      <w:r w:rsidRPr="006752EB">
        <w:rPr>
          <w:i/>
          <w:iCs/>
        </w:rPr>
        <w:t>going to work for all</w:t>
      </w:r>
      <w:r w:rsidR="00112227">
        <w:rPr>
          <w:i/>
          <w:iCs/>
        </w:rPr>
        <w:t>. This approach</w:t>
      </w:r>
      <w:r w:rsidRPr="006752EB">
        <w:rPr>
          <w:i/>
          <w:iCs/>
        </w:rPr>
        <w:t xml:space="preserve"> can capture interest. We </w:t>
      </w:r>
      <w:proofErr w:type="gramStart"/>
      <w:r w:rsidRPr="006752EB">
        <w:rPr>
          <w:i/>
          <w:iCs/>
        </w:rPr>
        <w:t>have to</w:t>
      </w:r>
      <w:proofErr w:type="gramEnd"/>
      <w:r w:rsidRPr="006752EB">
        <w:rPr>
          <w:i/>
          <w:iCs/>
        </w:rPr>
        <w:t xml:space="preserve"> make it </w:t>
      </w:r>
      <w:r w:rsidR="00A11676">
        <w:t xml:space="preserve">[evaluation] </w:t>
      </w:r>
      <w:r w:rsidRPr="006752EB">
        <w:rPr>
          <w:i/>
          <w:iCs/>
        </w:rPr>
        <w:t>a uni</w:t>
      </w:r>
      <w:r w:rsidR="00112227">
        <w:rPr>
          <w:i/>
          <w:iCs/>
        </w:rPr>
        <w:t>versity</w:t>
      </w:r>
      <w:r w:rsidR="0092280B">
        <w:rPr>
          <w:i/>
          <w:iCs/>
        </w:rPr>
        <w:t>-wide</w:t>
      </w:r>
      <w:r w:rsidRPr="006752EB">
        <w:rPr>
          <w:i/>
          <w:iCs/>
        </w:rPr>
        <w:t xml:space="preserve"> applicable thing. </w:t>
      </w:r>
      <w:r w:rsidR="0092280B">
        <w:rPr>
          <w:i/>
          <w:iCs/>
        </w:rPr>
        <w:t>It h</w:t>
      </w:r>
      <w:r w:rsidRPr="006752EB">
        <w:rPr>
          <w:i/>
          <w:iCs/>
        </w:rPr>
        <w:t>elp</w:t>
      </w:r>
      <w:r w:rsidR="00EA62C0">
        <w:rPr>
          <w:i/>
          <w:iCs/>
        </w:rPr>
        <w:t>s the</w:t>
      </w:r>
      <w:r w:rsidRPr="006752EB">
        <w:rPr>
          <w:i/>
          <w:iCs/>
        </w:rPr>
        <w:t xml:space="preserve"> uni</w:t>
      </w:r>
      <w:r w:rsidR="00EA62C0">
        <w:rPr>
          <w:i/>
          <w:iCs/>
        </w:rPr>
        <w:t>versity</w:t>
      </w:r>
      <w:r w:rsidR="004D563F">
        <w:rPr>
          <w:i/>
          <w:iCs/>
        </w:rPr>
        <w:t>’</w:t>
      </w:r>
      <w:r w:rsidR="00EA62C0">
        <w:rPr>
          <w:i/>
          <w:iCs/>
        </w:rPr>
        <w:t>s</w:t>
      </w:r>
      <w:r w:rsidRPr="006752EB">
        <w:rPr>
          <w:i/>
          <w:iCs/>
        </w:rPr>
        <w:t xml:space="preserve"> strategic plan</w:t>
      </w:r>
      <w:r w:rsidR="00AA7BA1">
        <w:rPr>
          <w:i/>
          <w:iCs/>
        </w:rPr>
        <w:t xml:space="preserve">. </w:t>
      </w:r>
      <w:r w:rsidR="0092280B">
        <w:rPr>
          <w:i/>
          <w:iCs/>
        </w:rPr>
        <w:t xml:space="preserve">We </w:t>
      </w:r>
      <w:proofErr w:type="gramStart"/>
      <w:r w:rsidR="0092280B">
        <w:rPr>
          <w:i/>
          <w:iCs/>
        </w:rPr>
        <w:t>have to</w:t>
      </w:r>
      <w:proofErr w:type="gramEnd"/>
      <w:r w:rsidR="0092280B">
        <w:rPr>
          <w:i/>
          <w:iCs/>
        </w:rPr>
        <w:t xml:space="preserve"> do it for </w:t>
      </w:r>
      <w:r w:rsidRPr="006752EB">
        <w:rPr>
          <w:i/>
          <w:iCs/>
        </w:rPr>
        <w:t>TEF</w:t>
      </w:r>
      <w:r w:rsidR="00AA7BA1">
        <w:rPr>
          <w:i/>
          <w:iCs/>
        </w:rPr>
        <w:t>. T</w:t>
      </w:r>
      <w:r w:rsidRPr="006752EB">
        <w:rPr>
          <w:i/>
          <w:iCs/>
        </w:rPr>
        <w:t xml:space="preserve">hey’re the same. </w:t>
      </w:r>
    </w:p>
    <w:p w14:paraId="5539FF2C" w14:textId="3EBDDD5B" w:rsidR="00444FAC" w:rsidRPr="001151F0" w:rsidRDefault="002E196D" w:rsidP="00444FAC">
      <w:pPr>
        <w:ind w:left="567"/>
        <w:rPr>
          <w:i/>
          <w:iCs/>
        </w:rPr>
      </w:pPr>
      <w:r>
        <w:rPr>
          <w:i/>
        </w:rPr>
        <w:t>T</w:t>
      </w:r>
      <w:r>
        <w:rPr>
          <w:i/>
          <w:iCs/>
        </w:rPr>
        <w:t>he TEF is interested in what’s h</w:t>
      </w:r>
      <w:r w:rsidR="00444FAC" w:rsidRPr="002E196D">
        <w:rPr>
          <w:i/>
          <w:iCs/>
        </w:rPr>
        <w:t>ighly effective</w:t>
      </w:r>
      <w:r w:rsidR="00101C0E">
        <w:rPr>
          <w:i/>
        </w:rPr>
        <w:t>.</w:t>
      </w:r>
      <w:r w:rsidR="00444FAC" w:rsidRPr="001151F0">
        <w:rPr>
          <w:i/>
          <w:iCs/>
        </w:rPr>
        <w:t xml:space="preserve"> So straightaway there's one</w:t>
      </w:r>
      <w:r w:rsidR="00647ED1">
        <w:rPr>
          <w:i/>
          <w:iCs/>
        </w:rPr>
        <w:t xml:space="preserve"> </w:t>
      </w:r>
      <w:r w:rsidR="00444FAC" w:rsidRPr="001151F0">
        <w:rPr>
          <w:i/>
          <w:iCs/>
        </w:rPr>
        <w:t xml:space="preserve">type </w:t>
      </w:r>
      <w:r w:rsidR="004D563F">
        <w:rPr>
          <w:i/>
          <w:iCs/>
        </w:rPr>
        <w:t xml:space="preserve">of </w:t>
      </w:r>
      <w:r w:rsidR="00444FAC" w:rsidRPr="001151F0">
        <w:rPr>
          <w:i/>
          <w:iCs/>
        </w:rPr>
        <w:t>outcome which is about effectiveness. But throughout</w:t>
      </w:r>
      <w:r w:rsidR="00B8175C">
        <w:rPr>
          <w:i/>
          <w:iCs/>
        </w:rPr>
        <w:t xml:space="preserve"> </w:t>
      </w:r>
      <w:r w:rsidR="00B8175C" w:rsidRPr="00B8175C">
        <w:t>[evaluation is needed]</w:t>
      </w:r>
      <w:r w:rsidR="00444FAC" w:rsidRPr="001151F0">
        <w:rPr>
          <w:i/>
          <w:iCs/>
        </w:rPr>
        <w:t xml:space="preserve">, it's not sufficient to just say what we are doing. </w:t>
      </w:r>
    </w:p>
    <w:p w14:paraId="2CFF2ED3" w14:textId="70F37583" w:rsidR="00444FAC" w:rsidRDefault="00444FAC" w:rsidP="00444FAC">
      <w:pPr>
        <w:ind w:left="567"/>
        <w:rPr>
          <w:i/>
          <w:iCs/>
        </w:rPr>
      </w:pPr>
      <w:r w:rsidRPr="001151F0">
        <w:rPr>
          <w:i/>
          <w:iCs/>
        </w:rPr>
        <w:t xml:space="preserve">We want our students to be successful and if measured by B3 to get to the second year, </w:t>
      </w:r>
      <w:r w:rsidR="00B8175C">
        <w:rPr>
          <w:i/>
          <w:iCs/>
        </w:rPr>
        <w:t xml:space="preserve">then to get </w:t>
      </w:r>
      <w:r w:rsidRPr="001151F0">
        <w:rPr>
          <w:i/>
          <w:iCs/>
        </w:rPr>
        <w:t xml:space="preserve">a good degree and </w:t>
      </w:r>
      <w:r w:rsidR="00B8175C">
        <w:rPr>
          <w:i/>
          <w:iCs/>
        </w:rPr>
        <w:t xml:space="preserve">a </w:t>
      </w:r>
      <w:r w:rsidRPr="001151F0">
        <w:rPr>
          <w:i/>
          <w:iCs/>
        </w:rPr>
        <w:t>good graduate outcome</w:t>
      </w:r>
      <w:r w:rsidR="00B8175C">
        <w:rPr>
          <w:i/>
          <w:iCs/>
        </w:rPr>
        <w:t>. T</w:t>
      </w:r>
      <w:r w:rsidRPr="001151F0">
        <w:rPr>
          <w:i/>
          <w:iCs/>
        </w:rPr>
        <w:t>o get that right we need to triangulate and pull in</w:t>
      </w:r>
      <w:r w:rsidR="00850204">
        <w:rPr>
          <w:i/>
        </w:rPr>
        <w:t xml:space="preserve"> </w:t>
      </w:r>
      <w:r w:rsidR="000B579E">
        <w:rPr>
          <w:i/>
          <w:iCs/>
        </w:rPr>
        <w:t>evidence</w:t>
      </w:r>
      <w:r w:rsidR="00247C72">
        <w:rPr>
          <w:i/>
          <w:iCs/>
        </w:rPr>
        <w:t xml:space="preserve"> holistically</w:t>
      </w:r>
      <w:r w:rsidRPr="001151F0">
        <w:rPr>
          <w:i/>
          <w:iCs/>
        </w:rPr>
        <w:t>.</w:t>
      </w:r>
    </w:p>
    <w:p w14:paraId="68C96C68" w14:textId="1250B969" w:rsidR="00E93AAB" w:rsidRPr="006752EB" w:rsidRDefault="00E93AAB" w:rsidP="00444FAC">
      <w:pPr>
        <w:ind w:left="567"/>
        <w:rPr>
          <w:i/>
          <w:iCs/>
        </w:rPr>
      </w:pPr>
      <w:r w:rsidRPr="001151F0">
        <w:rPr>
          <w:i/>
          <w:iCs/>
        </w:rPr>
        <w:t>We build the evaluation on-top of the existing processes and data collection</w:t>
      </w:r>
      <w:r>
        <w:rPr>
          <w:i/>
          <w:iCs/>
        </w:rPr>
        <w:t xml:space="preserve"> and c</w:t>
      </w:r>
      <w:r w:rsidRPr="001151F0">
        <w:rPr>
          <w:i/>
          <w:iCs/>
        </w:rPr>
        <w:t xml:space="preserve">o-ordinate and facilitate school (i.e. department) level priorities. Big projects fit </w:t>
      </w:r>
      <w:r>
        <w:rPr>
          <w:i/>
          <w:iCs/>
        </w:rPr>
        <w:t xml:space="preserve">across </w:t>
      </w:r>
      <w:r w:rsidRPr="001151F0">
        <w:rPr>
          <w:i/>
          <w:iCs/>
        </w:rPr>
        <w:t>different teams and learn from each other</w:t>
      </w:r>
      <w:r>
        <w:rPr>
          <w:i/>
          <w:iCs/>
        </w:rPr>
        <w:t xml:space="preserve">. </w:t>
      </w:r>
      <w:r w:rsidRPr="00DE023E">
        <w:t>[</w:t>
      </w:r>
      <w:r>
        <w:t>T</w:t>
      </w:r>
      <w:r w:rsidRPr="00DE023E">
        <w:t xml:space="preserve">he evaluation work] </w:t>
      </w:r>
      <w:r>
        <w:rPr>
          <w:i/>
          <w:iCs/>
        </w:rPr>
        <w:t xml:space="preserve">is </w:t>
      </w:r>
      <w:r w:rsidRPr="001151F0">
        <w:rPr>
          <w:i/>
          <w:iCs/>
        </w:rPr>
        <w:t>not isolated.</w:t>
      </w:r>
    </w:p>
    <w:p w14:paraId="0AF85EED" w14:textId="2CDE1A40" w:rsidR="00C57D2E" w:rsidRDefault="000B201C" w:rsidP="00C57D2E">
      <w:r>
        <w:t>As well as links between APP evaluation and</w:t>
      </w:r>
      <w:r w:rsidR="00444FAC" w:rsidRPr="00B572A7">
        <w:t xml:space="preserve"> internal quality assurance processes </w:t>
      </w:r>
      <w:r w:rsidR="003E1781">
        <w:t xml:space="preserve">such as </w:t>
      </w:r>
      <w:r w:rsidR="00D76A1B">
        <w:t xml:space="preserve">service level and </w:t>
      </w:r>
      <w:r w:rsidR="00444FAC" w:rsidRPr="00B572A7">
        <w:t>curriculum review</w:t>
      </w:r>
      <w:r w:rsidR="00D76A1B">
        <w:t>s</w:t>
      </w:r>
      <w:r w:rsidR="003E1781">
        <w:t xml:space="preserve">, </w:t>
      </w:r>
      <w:r>
        <w:t>t</w:t>
      </w:r>
      <w:r w:rsidR="00D76A1B" w:rsidRPr="00B572A7">
        <w:t xml:space="preserve">here </w:t>
      </w:r>
      <w:r w:rsidR="00D76A1B">
        <w:t>was</w:t>
      </w:r>
      <w:r w:rsidR="00D76A1B" w:rsidRPr="00B572A7">
        <w:t xml:space="preserve"> </w:t>
      </w:r>
      <w:r w:rsidR="003E1781">
        <w:t>links to</w:t>
      </w:r>
      <w:r w:rsidR="00D76A1B" w:rsidRPr="00B572A7">
        <w:t xml:space="preserve"> academic practices, especially reflexive practices. </w:t>
      </w:r>
    </w:p>
    <w:p w14:paraId="1E5A359B" w14:textId="5EF250EB" w:rsidR="00444FAC" w:rsidRPr="001151F0" w:rsidRDefault="00C57D2E" w:rsidP="00953038">
      <w:pPr>
        <w:ind w:left="567"/>
        <w:rPr>
          <w:i/>
          <w:iCs/>
        </w:rPr>
      </w:pPr>
      <w:r w:rsidRPr="00B8421F">
        <w:rPr>
          <w:i/>
          <w:iCs/>
        </w:rPr>
        <w:t xml:space="preserve">The big piece of work which is ongoing is brokering evaluation into existing services. When designing it rather than inventing something new, we want to use the evidence to see how effective what we already do is, to collect more data to remind us why </w:t>
      </w:r>
      <w:r w:rsidR="00E91069">
        <w:rPr>
          <w:i/>
          <w:iCs/>
        </w:rPr>
        <w:t xml:space="preserve">we’re </w:t>
      </w:r>
      <w:r w:rsidRPr="00B8421F">
        <w:rPr>
          <w:i/>
          <w:iCs/>
        </w:rPr>
        <w:t xml:space="preserve">doing it and make it better. We need to establish a baseline before we reinvigorate and will be aiming for a mix of Type 1 and Type 2, neither of which are historically well established. </w:t>
      </w:r>
    </w:p>
    <w:p w14:paraId="77B945E2" w14:textId="181EDF51" w:rsidR="00A94CC8" w:rsidRDefault="0040613F" w:rsidP="00A94CC8">
      <w:r>
        <w:t>At the same time, s</w:t>
      </w:r>
      <w:r w:rsidR="005A75C4">
        <w:t>ome key informants we</w:t>
      </w:r>
      <w:r w:rsidR="00A94CC8">
        <w:t>re cognisant of the existence currently of a highly dynamic and fluid context where the sustainability of evaluation developments could not be taken for granted. Ultimately decisions affecting evaluation implementation plans could be outside the control of the people responsible for the ev</w:t>
      </w:r>
      <w:r w:rsidR="00516F9F">
        <w:t>idence generation</w:t>
      </w:r>
      <w:r w:rsidR="00A94CC8">
        <w:t xml:space="preserve">. </w:t>
      </w:r>
    </w:p>
    <w:p w14:paraId="10390D20" w14:textId="70075D7A" w:rsidR="00A94CC8" w:rsidRPr="00A94CC8" w:rsidRDefault="00A94CC8" w:rsidP="00A94CC8">
      <w:pPr>
        <w:ind w:left="567"/>
        <w:rPr>
          <w:i/>
          <w:iCs/>
        </w:rPr>
      </w:pPr>
      <w:r w:rsidRPr="004A0E56">
        <w:rPr>
          <w:i/>
          <w:iCs/>
        </w:rPr>
        <w:t xml:space="preserve">We’ve got in-house expertise but to drive strategically where we need to be and create a culture of evaluation will take more </w:t>
      </w:r>
      <w:r w:rsidRPr="004B7B12">
        <w:rPr>
          <w:i/>
          <w:iCs/>
        </w:rPr>
        <w:t>tha</w:t>
      </w:r>
      <w:r w:rsidR="004B7B12">
        <w:rPr>
          <w:i/>
        </w:rPr>
        <w:t>n</w:t>
      </w:r>
      <w:r w:rsidRPr="004A0E56">
        <w:rPr>
          <w:i/>
          <w:iCs/>
        </w:rPr>
        <w:t xml:space="preserve"> strong will and pockets of good practice. We’ve not nailed the whole institutional approach to evaluation – what the landscape will look like for </w:t>
      </w:r>
      <w:r w:rsidR="008816CA">
        <w:rPr>
          <w:i/>
          <w:iCs/>
        </w:rPr>
        <w:t xml:space="preserve">the </w:t>
      </w:r>
      <w:r w:rsidRPr="004A0E56">
        <w:rPr>
          <w:i/>
          <w:iCs/>
        </w:rPr>
        <w:t xml:space="preserve">next four years is unclear. We’ve published </w:t>
      </w:r>
      <w:r>
        <w:rPr>
          <w:i/>
          <w:iCs/>
        </w:rPr>
        <w:t>our</w:t>
      </w:r>
      <w:r w:rsidRPr="004A0E56">
        <w:rPr>
          <w:i/>
          <w:iCs/>
        </w:rPr>
        <w:t xml:space="preserve"> intent but how we deliver it is ever changing. </w:t>
      </w:r>
    </w:p>
    <w:p w14:paraId="7D985445" w14:textId="26F95228" w:rsidR="0048106F" w:rsidRDefault="006C7AC7" w:rsidP="00EC1C68">
      <w:pPr>
        <w:pStyle w:val="Heading3"/>
      </w:pPr>
      <w:bookmarkStart w:id="23" w:name="_Toc204556348"/>
      <w:bookmarkStart w:id="24" w:name="_Toc204556559"/>
      <w:bookmarkStart w:id="25" w:name="_Toc205033882"/>
      <w:bookmarkStart w:id="26" w:name="_Toc205498241"/>
      <w:bookmarkStart w:id="27" w:name="_Toc205504255"/>
      <w:r>
        <w:t>2.2.4</w:t>
      </w:r>
      <w:r w:rsidR="0092760A">
        <w:t xml:space="preserve"> </w:t>
      </w:r>
      <w:r w:rsidR="00383C94">
        <w:t>Supporting evaluation decision making</w:t>
      </w:r>
      <w:bookmarkEnd w:id="23"/>
      <w:bookmarkEnd w:id="24"/>
      <w:bookmarkEnd w:id="25"/>
      <w:bookmarkEnd w:id="26"/>
      <w:bookmarkEnd w:id="27"/>
    </w:p>
    <w:p w14:paraId="1833CD06" w14:textId="134CF557" w:rsidR="00BE7310" w:rsidRPr="00A40589" w:rsidRDefault="0069509B" w:rsidP="00BE7310">
      <w:r>
        <w:t>T</w:t>
      </w:r>
      <w:r w:rsidR="00BE7310">
        <w:t>he standards were playing a role in decision</w:t>
      </w:r>
      <w:r w:rsidR="00D46EDA">
        <w:t>s on</w:t>
      </w:r>
      <w:r w:rsidR="00BE7310">
        <w:t xml:space="preserve"> intervention-specific evaluation</w:t>
      </w:r>
      <w:r w:rsidR="002D7218">
        <w:t xml:space="preserve">s and their </w:t>
      </w:r>
      <w:r w:rsidR="00BE7310">
        <w:t xml:space="preserve">implementation. This was often played out in the conversations which evaluators and colleagues with accountability roles </w:t>
      </w:r>
      <w:r w:rsidR="004E2957">
        <w:t>we</w:t>
      </w:r>
      <w:r w:rsidR="00BE7310">
        <w:t>re having with practitioners</w:t>
      </w:r>
      <w:r w:rsidR="002D7218">
        <w:t xml:space="preserve"> and other s</w:t>
      </w:r>
      <w:r w:rsidR="00BE7310">
        <w:t>ervice delivery staff</w:t>
      </w:r>
      <w:r w:rsidR="00A04C52">
        <w:t xml:space="preserve"> who </w:t>
      </w:r>
      <w:r w:rsidR="00BE7310">
        <w:t xml:space="preserve">are </w:t>
      </w:r>
      <w:r w:rsidR="004E2957">
        <w:t>usually</w:t>
      </w:r>
      <w:r w:rsidR="00A04C52">
        <w:t xml:space="preserve"> the</w:t>
      </w:r>
      <w:r w:rsidR="00BE7310">
        <w:t xml:space="preserve"> ones with responsibility for </w:t>
      </w:r>
      <w:r w:rsidR="004E2957">
        <w:t>embedding</w:t>
      </w:r>
      <w:r w:rsidR="00BE7310">
        <w:t xml:space="preserve"> </w:t>
      </w:r>
      <w:r w:rsidR="004E2957">
        <w:t>an</w:t>
      </w:r>
      <w:r w:rsidR="00BE7310">
        <w:t xml:space="preserve"> evaluat</w:t>
      </w:r>
      <w:r w:rsidR="00220974">
        <w:t>ion</w:t>
      </w:r>
      <w:r w:rsidR="00BE7310">
        <w:t xml:space="preserve">. </w:t>
      </w:r>
    </w:p>
    <w:p w14:paraId="75C25990" w14:textId="164D0E50" w:rsidR="000912DA" w:rsidRPr="00235F14" w:rsidRDefault="00BE7310" w:rsidP="00BE7310">
      <w:pPr>
        <w:ind w:left="567"/>
        <w:rPr>
          <w:i/>
          <w:iCs/>
        </w:rPr>
      </w:pPr>
      <w:r>
        <w:rPr>
          <w:i/>
          <w:iCs/>
        </w:rPr>
        <w:t>It’s h</w:t>
      </w:r>
      <w:r w:rsidRPr="00D94344">
        <w:rPr>
          <w:i/>
          <w:iCs/>
        </w:rPr>
        <w:t>elpful</w:t>
      </w:r>
      <w:r>
        <w:rPr>
          <w:i/>
          <w:iCs/>
        </w:rPr>
        <w:t xml:space="preserve">. They </w:t>
      </w:r>
      <w:r w:rsidRPr="00D94344">
        <w:rPr>
          <w:i/>
          <w:iCs/>
        </w:rPr>
        <w:t xml:space="preserve">really do </w:t>
      </w:r>
      <w:r>
        <w:rPr>
          <w:i/>
          <w:iCs/>
        </w:rPr>
        <w:t xml:space="preserve">set a </w:t>
      </w:r>
      <w:r w:rsidRPr="00D94344">
        <w:rPr>
          <w:i/>
          <w:iCs/>
        </w:rPr>
        <w:t xml:space="preserve">basic level of expectation </w:t>
      </w:r>
      <w:r>
        <w:rPr>
          <w:i/>
          <w:iCs/>
        </w:rPr>
        <w:t xml:space="preserve">which we </w:t>
      </w:r>
      <w:r w:rsidRPr="00D94344">
        <w:rPr>
          <w:i/>
          <w:iCs/>
        </w:rPr>
        <w:t xml:space="preserve">draw upon when speaking </w:t>
      </w:r>
      <w:r>
        <w:rPr>
          <w:i/>
          <w:iCs/>
        </w:rPr>
        <w:t xml:space="preserve">about </w:t>
      </w:r>
      <w:r w:rsidRPr="00D94344">
        <w:rPr>
          <w:i/>
          <w:iCs/>
        </w:rPr>
        <w:t xml:space="preserve">what </w:t>
      </w:r>
      <w:r>
        <w:rPr>
          <w:i/>
          <w:iCs/>
        </w:rPr>
        <w:t xml:space="preserve">the </w:t>
      </w:r>
      <w:r w:rsidRPr="00D94344">
        <w:rPr>
          <w:i/>
          <w:iCs/>
        </w:rPr>
        <w:t xml:space="preserve">standards are. </w:t>
      </w:r>
      <w:r>
        <w:rPr>
          <w:i/>
          <w:iCs/>
        </w:rPr>
        <w:t>It’s n</w:t>
      </w:r>
      <w:r w:rsidRPr="00D94344">
        <w:rPr>
          <w:i/>
          <w:iCs/>
        </w:rPr>
        <w:t xml:space="preserve">ot only </w:t>
      </w:r>
      <w:r>
        <w:rPr>
          <w:i/>
          <w:iCs/>
        </w:rPr>
        <w:t xml:space="preserve">a case of </w:t>
      </w:r>
      <w:r w:rsidRPr="00D94344">
        <w:rPr>
          <w:i/>
          <w:iCs/>
        </w:rPr>
        <w:t>T</w:t>
      </w:r>
      <w:r>
        <w:rPr>
          <w:i/>
          <w:iCs/>
        </w:rPr>
        <w:t xml:space="preserve">ype </w:t>
      </w:r>
      <w:r w:rsidRPr="00D94344">
        <w:rPr>
          <w:i/>
          <w:iCs/>
        </w:rPr>
        <w:t>3</w:t>
      </w:r>
      <w:r>
        <w:rPr>
          <w:i/>
          <w:iCs/>
        </w:rPr>
        <w:t xml:space="preserve"> – the </w:t>
      </w:r>
      <w:r w:rsidRPr="00D94344">
        <w:rPr>
          <w:i/>
          <w:iCs/>
        </w:rPr>
        <w:t xml:space="preserve">more of that from </w:t>
      </w:r>
      <w:proofErr w:type="spellStart"/>
      <w:r w:rsidRPr="00D94344">
        <w:rPr>
          <w:i/>
          <w:iCs/>
        </w:rPr>
        <w:t>OfS</w:t>
      </w:r>
      <w:proofErr w:type="spellEnd"/>
      <w:r w:rsidRPr="00D94344">
        <w:rPr>
          <w:i/>
          <w:iCs/>
        </w:rPr>
        <w:t xml:space="preserve"> the better</w:t>
      </w:r>
      <w:r>
        <w:rPr>
          <w:i/>
          <w:iCs/>
        </w:rPr>
        <w:t xml:space="preserve"> – but t</w:t>
      </w:r>
      <w:r w:rsidRPr="00D94344">
        <w:rPr>
          <w:i/>
          <w:iCs/>
        </w:rPr>
        <w:t xml:space="preserve">ools at </w:t>
      </w:r>
      <w:r>
        <w:rPr>
          <w:i/>
          <w:iCs/>
        </w:rPr>
        <w:t xml:space="preserve">the </w:t>
      </w:r>
      <w:r w:rsidRPr="00D94344">
        <w:rPr>
          <w:i/>
          <w:iCs/>
        </w:rPr>
        <w:t xml:space="preserve">start of </w:t>
      </w:r>
      <w:r>
        <w:rPr>
          <w:i/>
          <w:iCs/>
        </w:rPr>
        <w:t xml:space="preserve">the </w:t>
      </w:r>
      <w:r w:rsidRPr="00D94344">
        <w:rPr>
          <w:i/>
          <w:iCs/>
        </w:rPr>
        <w:t xml:space="preserve">conversation to support the work – what </w:t>
      </w:r>
      <w:r>
        <w:rPr>
          <w:i/>
          <w:iCs/>
        </w:rPr>
        <w:t xml:space="preserve">the </w:t>
      </w:r>
      <w:r w:rsidRPr="00D94344">
        <w:rPr>
          <w:i/>
          <w:iCs/>
        </w:rPr>
        <w:t>baseline is in practice</w:t>
      </w:r>
      <w:r>
        <w:rPr>
          <w:i/>
          <w:iCs/>
        </w:rPr>
        <w:t xml:space="preserve">. </w:t>
      </w:r>
      <w:r>
        <w:t xml:space="preserve"> </w:t>
      </w:r>
    </w:p>
    <w:p w14:paraId="26AA3C8B" w14:textId="2EA2D101" w:rsidR="00DF6155" w:rsidRDefault="00DF6155" w:rsidP="00BE7310">
      <w:pPr>
        <w:ind w:left="567"/>
      </w:pPr>
      <w:r w:rsidRPr="00235F14">
        <w:rPr>
          <w:i/>
          <w:iCs/>
        </w:rPr>
        <w:t>Ultimately there are strengths/weaknesses and we thought about this</w:t>
      </w:r>
      <w:r w:rsidR="008A0875" w:rsidRPr="00235F14">
        <w:rPr>
          <w:i/>
          <w:iCs/>
        </w:rPr>
        <w:t>. T</w:t>
      </w:r>
      <w:r w:rsidRPr="00235F14">
        <w:rPr>
          <w:i/>
          <w:iCs/>
        </w:rPr>
        <w:t xml:space="preserve">hat helped us reflect on what we’re designing and gives consistency in how we chart/look at standards – what the best approach should be for an intervention OR </w:t>
      </w:r>
      <w:r w:rsidR="008A0875" w:rsidRPr="00235F14">
        <w:rPr>
          <w:i/>
          <w:iCs/>
        </w:rPr>
        <w:t xml:space="preserve">whether the </w:t>
      </w:r>
      <w:r w:rsidRPr="00235F14">
        <w:rPr>
          <w:i/>
          <w:iCs/>
        </w:rPr>
        <w:t xml:space="preserve">test </w:t>
      </w:r>
      <w:r w:rsidR="008A0875" w:rsidRPr="00235F14">
        <w:rPr>
          <w:i/>
          <w:iCs/>
        </w:rPr>
        <w:t>or</w:t>
      </w:r>
      <w:r w:rsidRPr="00235F14">
        <w:rPr>
          <w:i/>
          <w:iCs/>
        </w:rPr>
        <w:t xml:space="preserve"> tool being used </w:t>
      </w:r>
      <w:r w:rsidR="00235F14" w:rsidRPr="00235F14">
        <w:t>[to evaluate]</w:t>
      </w:r>
      <w:r w:rsidR="00235F14" w:rsidRPr="00235F14">
        <w:rPr>
          <w:i/>
          <w:iCs/>
        </w:rPr>
        <w:t xml:space="preserve"> </w:t>
      </w:r>
      <w:r w:rsidRPr="00235F14">
        <w:rPr>
          <w:i/>
          <w:iCs/>
        </w:rPr>
        <w:t>is right? Great to have something that automates decisions on it</w:t>
      </w:r>
      <w:r w:rsidRPr="00DF6155">
        <w:t>.</w:t>
      </w:r>
    </w:p>
    <w:p w14:paraId="40476653" w14:textId="70603B36" w:rsidR="00EB3736" w:rsidRDefault="00EB3736" w:rsidP="00EB3736">
      <w:r>
        <w:lastRenderedPageBreak/>
        <w:t>In one case the standards were being used as part of an assessment regarding the current state of play on evaluation (i.e. when it comes to assessing what is already happening in relation to existing and ongoing initiatives). This example highlights the (not necessarily uncommon) situation where some (devolved) activities within the remit of APP need</w:t>
      </w:r>
      <w:r w:rsidR="001C18D0">
        <w:t>ed</w:t>
      </w:r>
      <w:r>
        <w:t xml:space="preserve"> to be brought within the remit of teams leading on APP accountability. In this case work was going on </w:t>
      </w:r>
      <w:r w:rsidR="00CF4F48">
        <w:t xml:space="preserve">to </w:t>
      </w:r>
      <w:r>
        <w:t>the ensure APP activities were coming in scope of</w:t>
      </w:r>
      <w:r w:rsidR="00F863A4">
        <w:t xml:space="preserve"> </w:t>
      </w:r>
      <w:r w:rsidR="00CF2F70">
        <w:t xml:space="preserve">agreed </w:t>
      </w:r>
      <w:r w:rsidR="00F863A4">
        <w:t>access and participation</w:t>
      </w:r>
      <w:r>
        <w:t xml:space="preserve"> </w:t>
      </w:r>
      <w:r w:rsidR="005A4769">
        <w:t xml:space="preserve">evaluation </w:t>
      </w:r>
      <w:r w:rsidR="00052170">
        <w:t>procedures</w:t>
      </w:r>
      <w:r w:rsidR="00C83A6A">
        <w:t xml:space="preserve"> </w:t>
      </w:r>
      <w:r>
        <w:t xml:space="preserve">for the forthcoming APP round.   </w:t>
      </w:r>
    </w:p>
    <w:p w14:paraId="0E2D6808" w14:textId="77777777" w:rsidR="00EB3736" w:rsidRDefault="00EB3736" w:rsidP="00165DB9">
      <w:pPr>
        <w:ind w:left="567"/>
        <w:rPr>
          <w:i/>
          <w:iCs/>
        </w:rPr>
      </w:pPr>
      <w:r>
        <w:rPr>
          <w:i/>
          <w:iCs/>
        </w:rPr>
        <w:t>U</w:t>
      </w:r>
      <w:r w:rsidRPr="00624CA7">
        <w:rPr>
          <w:i/>
          <w:iCs/>
        </w:rPr>
        <w:t xml:space="preserve">seful for us to monitor at programme level where it is in terms of evidence being created. However, it’s not an evaluation until it’s got an evaluation design on it. </w:t>
      </w:r>
    </w:p>
    <w:p w14:paraId="6B793A4A" w14:textId="63F20D97" w:rsidR="000912DA" w:rsidRDefault="00A04060" w:rsidP="00EB3736">
      <w:pPr>
        <w:pStyle w:val="Heading3"/>
      </w:pPr>
      <w:bookmarkStart w:id="28" w:name="_Toc204556349"/>
      <w:bookmarkStart w:id="29" w:name="_Toc204556560"/>
      <w:bookmarkStart w:id="30" w:name="_Toc205033883"/>
      <w:bookmarkStart w:id="31" w:name="_Toc205498242"/>
      <w:bookmarkStart w:id="32" w:name="_Toc205504256"/>
      <w:r>
        <w:t>2.2.5</w:t>
      </w:r>
      <w:r w:rsidR="00EB3736">
        <w:t xml:space="preserve"> </w:t>
      </w:r>
      <w:r w:rsidR="000912DA">
        <w:t>Helping to prioritise evaluation work</w:t>
      </w:r>
      <w:bookmarkEnd w:id="28"/>
      <w:bookmarkEnd w:id="29"/>
      <w:bookmarkEnd w:id="30"/>
      <w:bookmarkEnd w:id="31"/>
      <w:bookmarkEnd w:id="32"/>
    </w:p>
    <w:p w14:paraId="6EB03156" w14:textId="3EB4511A" w:rsidR="00B90424" w:rsidRDefault="002573FF" w:rsidP="00E751E1">
      <w:r>
        <w:t xml:space="preserve">The standards offer a framework for </w:t>
      </w:r>
      <w:r w:rsidR="00F7174B">
        <w:t>considering wh</w:t>
      </w:r>
      <w:r w:rsidR="000E6629">
        <w:t>at</w:t>
      </w:r>
      <w:r w:rsidR="00F7174B">
        <w:t xml:space="preserve"> type of evaluation is proportionate </w:t>
      </w:r>
      <w:r w:rsidR="000E6629">
        <w:t>for</w:t>
      </w:r>
      <w:r w:rsidR="00F7174B">
        <w:t xml:space="preserve"> different </w:t>
      </w:r>
      <w:r w:rsidR="004013BC">
        <w:t>kinds</w:t>
      </w:r>
      <w:r w:rsidR="00F7174B">
        <w:t xml:space="preserve"> of intervention</w:t>
      </w:r>
      <w:r w:rsidR="00F33175">
        <w:t xml:space="preserve">, and direct </w:t>
      </w:r>
      <w:r w:rsidR="00FC7326">
        <w:t xml:space="preserve">attention to </w:t>
      </w:r>
      <w:r w:rsidR="007D36E7">
        <w:t xml:space="preserve">the most resource-intensive programmes </w:t>
      </w:r>
      <w:r w:rsidR="00A71A0E">
        <w:t xml:space="preserve">such as </w:t>
      </w:r>
      <w:r w:rsidR="007D36E7">
        <w:t>long-term or multi-activity interventions</w:t>
      </w:r>
      <w:r w:rsidR="00A71A0E">
        <w:t xml:space="preserve"> which </w:t>
      </w:r>
      <w:r w:rsidR="007D36E7">
        <w:t xml:space="preserve">require </w:t>
      </w:r>
      <w:r w:rsidR="00230F1F">
        <w:t xml:space="preserve">stronger </w:t>
      </w:r>
      <w:r w:rsidR="007D36E7">
        <w:t xml:space="preserve">evidence </w:t>
      </w:r>
      <w:r w:rsidR="00230F1F">
        <w:t xml:space="preserve">of impact </w:t>
      </w:r>
      <w:r w:rsidR="00296A73">
        <w:t>than ‘</w:t>
      </w:r>
      <w:r w:rsidR="00934EAE">
        <w:t>l</w:t>
      </w:r>
      <w:r w:rsidR="00296A73">
        <w:t xml:space="preserve">ight-touch’ ones </w:t>
      </w:r>
      <w:r w:rsidR="007D36E7">
        <w:t xml:space="preserve">because it would be </w:t>
      </w:r>
      <w:r w:rsidR="00296A73">
        <w:t xml:space="preserve">more </w:t>
      </w:r>
      <w:r w:rsidR="007D36E7">
        <w:t xml:space="preserve">risky to continue to devote the level of resource unless the activity can be shown to </w:t>
      </w:r>
      <w:r w:rsidR="00922230">
        <w:t xml:space="preserve">be </w:t>
      </w:r>
      <w:r w:rsidR="007D36E7">
        <w:t>ha</w:t>
      </w:r>
      <w:r w:rsidR="00922230">
        <w:t>ving</w:t>
      </w:r>
      <w:r w:rsidR="007D36E7">
        <w:t xml:space="preserve"> the beneficial impact it is aiming for</w:t>
      </w:r>
      <w:r w:rsidR="00F87D05">
        <w:t xml:space="preserve">. </w:t>
      </w:r>
      <w:r w:rsidR="00146B46">
        <w:t>As might be expected, c</w:t>
      </w:r>
      <w:r w:rsidR="007A3DBF">
        <w:t xml:space="preserve">onsiderations such as the </w:t>
      </w:r>
      <w:r w:rsidR="00146B46">
        <w:t xml:space="preserve">availability of </w:t>
      </w:r>
      <w:r w:rsidR="00E67E2D">
        <w:t xml:space="preserve">existing </w:t>
      </w:r>
      <w:r w:rsidR="00146B46">
        <w:t xml:space="preserve">evidence of impact </w:t>
      </w:r>
      <w:r w:rsidR="00147DD6">
        <w:t>also</w:t>
      </w:r>
      <w:r w:rsidR="00146B46">
        <w:t xml:space="preserve"> affec</w:t>
      </w:r>
      <w:r w:rsidR="0030623F">
        <w:t>ts</w:t>
      </w:r>
      <w:r w:rsidR="00146B46">
        <w:t xml:space="preserve"> </w:t>
      </w:r>
      <w:r w:rsidR="00366D05">
        <w:t xml:space="preserve">the </w:t>
      </w:r>
      <w:r w:rsidR="00146B46">
        <w:t xml:space="preserve">approach </w:t>
      </w:r>
      <w:r w:rsidR="00147DD6">
        <w:t xml:space="preserve">in terms of </w:t>
      </w:r>
      <w:r w:rsidR="00146B46">
        <w:t>meet</w:t>
      </w:r>
      <w:r w:rsidR="00147DD6">
        <w:t>ing</w:t>
      </w:r>
      <w:r w:rsidR="00146B46">
        <w:t xml:space="preserve"> the information needs of the intended </w:t>
      </w:r>
      <w:r w:rsidR="00147DD6">
        <w:t xml:space="preserve">evaluation </w:t>
      </w:r>
      <w:r w:rsidR="00146B46">
        <w:t>users</w:t>
      </w:r>
      <w:r w:rsidR="0030623F">
        <w:t xml:space="preserve">. </w:t>
      </w:r>
    </w:p>
    <w:p w14:paraId="62A553A7" w14:textId="1F70864E" w:rsidR="00855093" w:rsidRDefault="00B90424" w:rsidP="00B61BD9">
      <w:pPr>
        <w:ind w:left="576"/>
        <w:rPr>
          <w:i/>
          <w:iCs/>
        </w:rPr>
      </w:pPr>
      <w:r w:rsidRPr="009B4234">
        <w:rPr>
          <w:i/>
          <w:iCs/>
        </w:rPr>
        <w:t>Standards are helpful for interna</w:t>
      </w:r>
      <w:r>
        <w:rPr>
          <w:i/>
          <w:iCs/>
        </w:rPr>
        <w:t xml:space="preserve">l </w:t>
      </w:r>
      <w:r w:rsidRPr="009B4234">
        <w:rPr>
          <w:i/>
          <w:iCs/>
        </w:rPr>
        <w:t>conversations. A shared language for getting internal stakeholders who are doing evaluation to think about where and how. Where are different types needed and how much is needed in different places</w:t>
      </w:r>
      <w:r w:rsidR="00783170">
        <w:rPr>
          <w:i/>
          <w:iCs/>
        </w:rPr>
        <w:t>?</w:t>
      </w:r>
    </w:p>
    <w:p w14:paraId="02355B69" w14:textId="48E6053E" w:rsidR="00CA7043" w:rsidRDefault="00CA7043" w:rsidP="00CA7043">
      <w:r>
        <w:t xml:space="preserve">Part of the challenge for APP staff in accountability roles (i.e. with responsibilities for reporting internally and externally) is keeping track of all the interventions </w:t>
      </w:r>
      <w:r w:rsidRPr="00903493">
        <w:t>going on</w:t>
      </w:r>
      <w:r>
        <w:t>, ensuring ongoing monitoring and accountability reporting, ensuring those delivering interventions are supported to evaluate and ensur</w:t>
      </w:r>
      <w:r w:rsidR="004921B2">
        <w:t>ing</w:t>
      </w:r>
      <w:r>
        <w:t xml:space="preserve"> that appropriate resource is going into strengthening the impact evidence. Getting clear on the priorities for evidence gathering has helped to organise the work. </w:t>
      </w:r>
    </w:p>
    <w:p w14:paraId="54008703" w14:textId="77777777" w:rsidR="00CA7043" w:rsidRDefault="00CA7043" w:rsidP="00CA7043">
      <w:pPr>
        <w:ind w:left="567"/>
        <w:rPr>
          <w:i/>
          <w:iCs/>
        </w:rPr>
      </w:pPr>
      <w:r w:rsidRPr="006A38AC">
        <w:rPr>
          <w:i/>
          <w:iCs/>
        </w:rPr>
        <w:t>The APP brought all these random activities into one focus. Standards are used as a way of making sense of different levels of evidence and the difference between good and bad. Brings order and purpose</w:t>
      </w:r>
      <w:r>
        <w:rPr>
          <w:i/>
          <w:iCs/>
        </w:rPr>
        <w:t xml:space="preserve">, </w:t>
      </w:r>
      <w:r w:rsidRPr="006A38AC">
        <w:rPr>
          <w:i/>
          <w:iCs/>
        </w:rPr>
        <w:t xml:space="preserve">direction, focus and control. </w:t>
      </w:r>
    </w:p>
    <w:p w14:paraId="33485CF4" w14:textId="77777777" w:rsidR="00CA7043" w:rsidRPr="006A38AC" w:rsidRDefault="00CA7043" w:rsidP="00CA7043">
      <w:pPr>
        <w:ind w:left="567"/>
        <w:rPr>
          <w:i/>
          <w:iCs/>
        </w:rPr>
      </w:pPr>
      <w:r>
        <w:rPr>
          <w:i/>
          <w:iCs/>
        </w:rPr>
        <w:t xml:space="preserve">We’re more focused now: we know when and how each activity will be evaluated and when and how we’ll get the results. </w:t>
      </w:r>
    </w:p>
    <w:p w14:paraId="567B2329" w14:textId="77777777" w:rsidR="00133029" w:rsidRDefault="00133029" w:rsidP="00133029">
      <w:r>
        <w:t>Key informants in evaluation roles would like to see more support for using evaluation resource to the best effect overall as part of access and participation planning. One key informant commented on some a</w:t>
      </w:r>
      <w:r w:rsidRPr="00E84DFF">
        <w:t xml:space="preserve">mbiguity in </w:t>
      </w:r>
      <w:proofErr w:type="spellStart"/>
      <w:r>
        <w:t>OfS</w:t>
      </w:r>
      <w:proofErr w:type="spellEnd"/>
      <w:r>
        <w:t xml:space="preserve"> </w:t>
      </w:r>
      <w:r w:rsidRPr="00E84DFF">
        <w:t>guidance</w:t>
      </w:r>
      <w:r>
        <w:t xml:space="preserve">: </w:t>
      </w:r>
    </w:p>
    <w:p w14:paraId="4D00CE9C" w14:textId="77777777" w:rsidR="00133029" w:rsidRDefault="00133029" w:rsidP="00133029">
      <w:pPr>
        <w:ind w:left="567"/>
      </w:pPr>
      <w:r w:rsidRPr="004177D9">
        <w:rPr>
          <w:i/>
          <w:iCs/>
        </w:rPr>
        <w:t xml:space="preserve">Regulatory Notice 1 says all APPs </w:t>
      </w:r>
      <w:proofErr w:type="gramStart"/>
      <w:r w:rsidRPr="004177D9">
        <w:rPr>
          <w:i/>
          <w:iCs/>
        </w:rPr>
        <w:t>have to</w:t>
      </w:r>
      <w:proofErr w:type="gramEnd"/>
      <w:r w:rsidRPr="004177D9">
        <w:rPr>
          <w:i/>
          <w:iCs/>
        </w:rPr>
        <w:t xml:space="preserve"> have credible Intervention Strategies which explain how each of the outcomes will be evaluated - for us that’s 90-100 interventions. Regulatory Advice 6 says we should be prioritising evaluation according to what we already know and what we </w:t>
      </w:r>
      <w:r>
        <w:rPr>
          <w:i/>
          <w:iCs/>
        </w:rPr>
        <w:t xml:space="preserve">do </w:t>
      </w:r>
      <w:r w:rsidRPr="004177D9">
        <w:rPr>
          <w:i/>
          <w:iCs/>
        </w:rPr>
        <w:t>not know about.</w:t>
      </w:r>
      <w:r>
        <w:t xml:space="preserve"> </w:t>
      </w:r>
    </w:p>
    <w:p w14:paraId="33031409" w14:textId="77777777" w:rsidR="00133029" w:rsidRDefault="00133029" w:rsidP="00133029">
      <w:r>
        <w:t>U</w:t>
      </w:r>
      <w:r w:rsidRPr="00413559">
        <w:t xml:space="preserve">ncertainty </w:t>
      </w:r>
      <w:r>
        <w:t xml:space="preserve">existed </w:t>
      </w:r>
      <w:r w:rsidRPr="00413559">
        <w:t xml:space="preserve">around expectation to evaluate an intervention </w:t>
      </w:r>
      <w:r>
        <w:t xml:space="preserve">at the project/programme level </w:t>
      </w:r>
      <w:r w:rsidRPr="00413559">
        <w:t xml:space="preserve">or </w:t>
      </w:r>
      <w:r>
        <w:t xml:space="preserve">by setting in place </w:t>
      </w:r>
      <w:r w:rsidRPr="00413559">
        <w:t xml:space="preserve">an </w:t>
      </w:r>
      <w:r>
        <w:t xml:space="preserve">overarching approach for the </w:t>
      </w:r>
      <w:r w:rsidRPr="00413559">
        <w:t>entire intervention strategy</w:t>
      </w:r>
      <w:r>
        <w:t xml:space="preserve"> (or both)</w:t>
      </w:r>
      <w:r w:rsidRPr="00413559">
        <w:t xml:space="preserve">. </w:t>
      </w:r>
      <w:r>
        <w:t xml:space="preserve">The comments highlight the tension for evaluation planning on the ground: on the one hand there is a clear need to prioritise (limited) evaluation resources to be most effective and to make sure that the evidence can be used to the greatest effect; </w:t>
      </w:r>
      <w:r w:rsidRPr="0017017F">
        <w:t>on the other</w:t>
      </w:r>
      <w:r>
        <w:t xml:space="preserve"> hand, there is a need to strive for strong evidence across the field (at least Type 2 for intervention strategies as a whole). </w:t>
      </w:r>
    </w:p>
    <w:p w14:paraId="18245D30" w14:textId="77777777" w:rsidR="00133029" w:rsidRPr="00867898" w:rsidRDefault="00133029" w:rsidP="00133029">
      <w:pPr>
        <w:ind w:left="576"/>
        <w:rPr>
          <w:i/>
          <w:iCs/>
        </w:rPr>
      </w:pPr>
      <w:r>
        <w:rPr>
          <w:i/>
          <w:iCs/>
        </w:rPr>
        <w:t>W</w:t>
      </w:r>
      <w:r w:rsidRPr="003E094A">
        <w:rPr>
          <w:i/>
          <w:iCs/>
        </w:rPr>
        <w:t xml:space="preserve">hat </w:t>
      </w:r>
      <w:r>
        <w:rPr>
          <w:i/>
          <w:iCs/>
        </w:rPr>
        <w:t xml:space="preserve">we </w:t>
      </w:r>
      <w:r w:rsidRPr="003E094A">
        <w:rPr>
          <w:i/>
          <w:iCs/>
        </w:rPr>
        <w:t xml:space="preserve">wanted to do </w:t>
      </w:r>
      <w:r>
        <w:rPr>
          <w:i/>
          <w:iCs/>
        </w:rPr>
        <w:t xml:space="preserve">with the </w:t>
      </w:r>
      <w:r w:rsidRPr="003E094A">
        <w:rPr>
          <w:i/>
          <w:iCs/>
        </w:rPr>
        <w:t xml:space="preserve">existing plan </w:t>
      </w:r>
      <w:r>
        <w:rPr>
          <w:i/>
          <w:iCs/>
        </w:rPr>
        <w:t xml:space="preserve">is </w:t>
      </w:r>
      <w:r w:rsidRPr="003E094A">
        <w:rPr>
          <w:i/>
          <w:iCs/>
        </w:rPr>
        <w:t xml:space="preserve">to get </w:t>
      </w:r>
      <w:r>
        <w:rPr>
          <w:i/>
          <w:iCs/>
        </w:rPr>
        <w:t xml:space="preserve">the </w:t>
      </w:r>
      <w:r w:rsidRPr="003E094A">
        <w:rPr>
          <w:i/>
          <w:iCs/>
        </w:rPr>
        <w:t xml:space="preserve">culture embedded – dedicate time, send </w:t>
      </w:r>
      <w:r>
        <w:rPr>
          <w:i/>
          <w:iCs/>
        </w:rPr>
        <w:t xml:space="preserve">out </w:t>
      </w:r>
      <w:r w:rsidRPr="003E094A">
        <w:rPr>
          <w:i/>
          <w:iCs/>
        </w:rPr>
        <w:t>toolkit</w:t>
      </w:r>
      <w:r>
        <w:rPr>
          <w:i/>
          <w:iCs/>
        </w:rPr>
        <w:t xml:space="preserve"> resources</w:t>
      </w:r>
      <w:r w:rsidRPr="003E094A">
        <w:rPr>
          <w:i/>
          <w:iCs/>
        </w:rPr>
        <w:t xml:space="preserve"> or </w:t>
      </w:r>
      <w:r>
        <w:rPr>
          <w:i/>
          <w:iCs/>
        </w:rPr>
        <w:t xml:space="preserve">run </w:t>
      </w:r>
      <w:r w:rsidRPr="003E094A">
        <w:rPr>
          <w:i/>
          <w:iCs/>
        </w:rPr>
        <w:t>network event</w:t>
      </w:r>
      <w:r>
        <w:rPr>
          <w:i/>
          <w:iCs/>
        </w:rPr>
        <w:t>s - b</w:t>
      </w:r>
      <w:r w:rsidRPr="003E094A">
        <w:rPr>
          <w:i/>
          <w:iCs/>
        </w:rPr>
        <w:t xml:space="preserve">ut </w:t>
      </w:r>
      <w:r>
        <w:rPr>
          <w:i/>
          <w:iCs/>
        </w:rPr>
        <w:t xml:space="preserve">there’s </w:t>
      </w:r>
      <w:r w:rsidRPr="003E094A">
        <w:rPr>
          <w:i/>
          <w:iCs/>
        </w:rPr>
        <w:t xml:space="preserve">only so many conversations </w:t>
      </w:r>
      <w:r>
        <w:rPr>
          <w:i/>
          <w:iCs/>
        </w:rPr>
        <w:t xml:space="preserve">you </w:t>
      </w:r>
      <w:r w:rsidRPr="003E094A">
        <w:rPr>
          <w:i/>
          <w:iCs/>
        </w:rPr>
        <w:t>can have.</w:t>
      </w:r>
    </w:p>
    <w:p w14:paraId="2A4C76D9" w14:textId="3DBA645F" w:rsidR="00167254" w:rsidRPr="005D734A" w:rsidRDefault="00133029" w:rsidP="005D734A">
      <w:r w:rsidRPr="00C568BB">
        <w:t xml:space="preserve">Where the Intervention Strategies included </w:t>
      </w:r>
      <w:r w:rsidR="003B1B27">
        <w:t>many</w:t>
      </w:r>
      <w:r w:rsidRPr="00C568BB">
        <w:t xml:space="preserve"> diverse strands of work it </w:t>
      </w:r>
      <w:r w:rsidR="003B1B27">
        <w:t>makes</w:t>
      </w:r>
      <w:r w:rsidRPr="00C568BB">
        <w:t xml:space="preserve"> sense to put the efforts into enhancing the</w:t>
      </w:r>
      <w:r>
        <w:t xml:space="preserve"> evaluability of the interventions, for example through identification of indicators to capture the outcomes and impacts and what data would be used to measure these, as part of a proportionate approach. At this stage in the APP planning process, much of this work was being pushed forward through working with practitioners to agree logical frameworks for interventions and/or an enhanced theory of change.  </w:t>
      </w:r>
      <w:r w:rsidR="005670D1">
        <w:t xml:space="preserve">Decisions on </w:t>
      </w:r>
      <w:r w:rsidR="00A90909">
        <w:t>wh</w:t>
      </w:r>
      <w:r w:rsidR="00764618">
        <w:t xml:space="preserve">ich interventions to focus on </w:t>
      </w:r>
      <w:r w:rsidR="00A90909">
        <w:t xml:space="preserve">could take in a range of considerations (see Figure </w:t>
      </w:r>
      <w:r w:rsidR="000E20E0">
        <w:t>2</w:t>
      </w:r>
      <w:r w:rsidR="00C568BB">
        <w:t>.</w:t>
      </w:r>
      <w:r w:rsidR="002901F0">
        <w:t>1</w:t>
      </w:r>
      <w:r w:rsidR="00A90909">
        <w:t xml:space="preserve">). </w:t>
      </w:r>
      <w:r w:rsidR="00D7245E">
        <w:t xml:space="preserve">Most effort to </w:t>
      </w:r>
      <w:r w:rsidR="00D7245E">
        <w:lastRenderedPageBreak/>
        <w:t xml:space="preserve">enhance evaluation </w:t>
      </w:r>
      <w:r w:rsidR="00EA3D38">
        <w:t xml:space="preserve">(for example by testing the evaluability and securing access to data) </w:t>
      </w:r>
      <w:r w:rsidR="00505037">
        <w:t xml:space="preserve">was being direct at </w:t>
      </w:r>
      <w:r w:rsidR="00E734F3">
        <w:t>resource-intensive interventions, link</w:t>
      </w:r>
      <w:r w:rsidR="002150A7">
        <w:t>ed</w:t>
      </w:r>
      <w:r w:rsidR="00E734F3">
        <w:t xml:space="preserve"> to overall objectives, and offer</w:t>
      </w:r>
      <w:r w:rsidR="002150A7">
        <w:t xml:space="preserve"> innovation and</w:t>
      </w:r>
      <w:r w:rsidR="00E734F3">
        <w:t xml:space="preserve"> </w:t>
      </w:r>
      <w:r w:rsidR="002150A7">
        <w:t xml:space="preserve">new knowledge. </w:t>
      </w:r>
    </w:p>
    <w:p w14:paraId="6B7E6169" w14:textId="14BB478A" w:rsidR="00A81608" w:rsidRPr="00C568BB" w:rsidRDefault="00855093" w:rsidP="009B3BAE">
      <w:pPr>
        <w:ind w:left="576"/>
        <w:rPr>
          <w:i/>
          <w:iCs/>
        </w:rPr>
      </w:pPr>
      <w:r>
        <w:rPr>
          <w:i/>
          <w:iCs/>
        </w:rPr>
        <w:t>A</w:t>
      </w:r>
      <w:r w:rsidR="00167254" w:rsidRPr="00167254">
        <w:rPr>
          <w:i/>
          <w:iCs/>
        </w:rPr>
        <w:t xml:space="preserve">nything </w:t>
      </w:r>
      <w:r>
        <w:rPr>
          <w:i/>
          <w:iCs/>
        </w:rPr>
        <w:t xml:space="preserve">that </w:t>
      </w:r>
      <w:r w:rsidR="00167254" w:rsidRPr="00167254">
        <w:rPr>
          <w:i/>
          <w:iCs/>
        </w:rPr>
        <w:t>get</w:t>
      </w:r>
      <w:r>
        <w:rPr>
          <w:i/>
          <w:iCs/>
        </w:rPr>
        <w:t>s</w:t>
      </w:r>
      <w:r w:rsidR="00167254" w:rsidRPr="00167254">
        <w:rPr>
          <w:i/>
          <w:iCs/>
        </w:rPr>
        <w:t xml:space="preserve"> a lot of resource, </w:t>
      </w:r>
      <w:r w:rsidR="0047765F">
        <w:rPr>
          <w:i/>
          <w:iCs/>
        </w:rPr>
        <w:t>th</w:t>
      </w:r>
      <w:r w:rsidR="00E538DA">
        <w:rPr>
          <w:i/>
          <w:iCs/>
        </w:rPr>
        <w:t>e</w:t>
      </w:r>
      <w:r w:rsidR="0047765F">
        <w:rPr>
          <w:i/>
          <w:iCs/>
        </w:rPr>
        <w:t xml:space="preserve"> </w:t>
      </w:r>
      <w:r w:rsidR="00167254" w:rsidRPr="00167254">
        <w:rPr>
          <w:i/>
          <w:iCs/>
        </w:rPr>
        <w:t xml:space="preserve">person in charge </w:t>
      </w:r>
      <w:r w:rsidR="00E538DA">
        <w:rPr>
          <w:i/>
          <w:iCs/>
        </w:rPr>
        <w:t>has</w:t>
      </w:r>
      <w:r w:rsidR="0047765F">
        <w:rPr>
          <w:i/>
          <w:iCs/>
        </w:rPr>
        <w:t xml:space="preserve"> the </w:t>
      </w:r>
      <w:r w:rsidR="00167254" w:rsidRPr="00167254">
        <w:rPr>
          <w:i/>
          <w:iCs/>
        </w:rPr>
        <w:t xml:space="preserve">loudest voice, </w:t>
      </w:r>
      <w:r w:rsidR="0047765F">
        <w:rPr>
          <w:i/>
          <w:iCs/>
        </w:rPr>
        <w:t xml:space="preserve">because that’s </w:t>
      </w:r>
      <w:r w:rsidR="00167254" w:rsidRPr="00167254">
        <w:rPr>
          <w:i/>
          <w:iCs/>
        </w:rPr>
        <w:t xml:space="preserve">pitched </w:t>
      </w:r>
      <w:r w:rsidR="0047765F">
        <w:rPr>
          <w:i/>
          <w:iCs/>
        </w:rPr>
        <w:t xml:space="preserve">at </w:t>
      </w:r>
      <w:r w:rsidR="00167254" w:rsidRPr="00167254">
        <w:rPr>
          <w:i/>
          <w:iCs/>
        </w:rPr>
        <w:t xml:space="preserve">high level evaluation – </w:t>
      </w:r>
      <w:r w:rsidR="0047765F">
        <w:rPr>
          <w:i/>
          <w:iCs/>
        </w:rPr>
        <w:t xml:space="preserve">because it’s an </w:t>
      </w:r>
      <w:r w:rsidR="00167254" w:rsidRPr="00167254">
        <w:rPr>
          <w:i/>
          <w:iCs/>
        </w:rPr>
        <w:t xml:space="preserve">important activity. Some </w:t>
      </w:r>
      <w:r w:rsidR="00E538DA">
        <w:rPr>
          <w:i/>
          <w:iCs/>
        </w:rPr>
        <w:t xml:space="preserve">activities are </w:t>
      </w:r>
      <w:r w:rsidR="00167254" w:rsidRPr="00167254">
        <w:rPr>
          <w:i/>
          <w:iCs/>
        </w:rPr>
        <w:t xml:space="preserve">smaller </w:t>
      </w:r>
      <w:r w:rsidR="005D734A" w:rsidRPr="00C568BB">
        <w:rPr>
          <w:i/>
          <w:iCs/>
        </w:rPr>
        <w:t xml:space="preserve">and they’re </w:t>
      </w:r>
      <w:r w:rsidR="00E538DA" w:rsidRPr="00C568BB">
        <w:rPr>
          <w:i/>
          <w:iCs/>
        </w:rPr>
        <w:t xml:space="preserve">quite </w:t>
      </w:r>
      <w:r w:rsidR="00167254" w:rsidRPr="00C568BB">
        <w:rPr>
          <w:i/>
          <w:iCs/>
        </w:rPr>
        <w:t>qui</w:t>
      </w:r>
      <w:r w:rsidR="005D734A" w:rsidRPr="00C568BB">
        <w:rPr>
          <w:i/>
          <w:iCs/>
        </w:rPr>
        <w:t xml:space="preserve">et </w:t>
      </w:r>
      <w:r w:rsidR="00167254" w:rsidRPr="00C568BB">
        <w:rPr>
          <w:i/>
          <w:iCs/>
        </w:rPr>
        <w:t xml:space="preserve">and that’s OK. </w:t>
      </w:r>
    </w:p>
    <w:p w14:paraId="1662AD99" w14:textId="717795D6" w:rsidR="00767B89" w:rsidRDefault="00767B89" w:rsidP="00767B89">
      <w:pPr>
        <w:ind w:left="576"/>
        <w:rPr>
          <w:i/>
          <w:iCs/>
        </w:rPr>
      </w:pPr>
      <w:r w:rsidRPr="00C568BB">
        <w:rPr>
          <w:i/>
          <w:iCs/>
        </w:rPr>
        <w:t xml:space="preserve">On legacy funding schemes there’s the choice </w:t>
      </w:r>
      <w:r w:rsidR="000A1E33">
        <w:rPr>
          <w:i/>
          <w:iCs/>
        </w:rPr>
        <w:t>to</w:t>
      </w:r>
      <w:r w:rsidRPr="00C568BB">
        <w:rPr>
          <w:i/>
          <w:iCs/>
        </w:rPr>
        <w:t xml:space="preserve"> whittle down something or articulate resources into APP goals or find activities that </w:t>
      </w:r>
      <w:r w:rsidR="00FC7F5C" w:rsidRPr="00C568BB">
        <w:rPr>
          <w:i/>
          <w:iCs/>
        </w:rPr>
        <w:t xml:space="preserve">are </w:t>
      </w:r>
      <w:r w:rsidRPr="00C568BB">
        <w:rPr>
          <w:i/>
          <w:iCs/>
        </w:rPr>
        <w:t xml:space="preserve">worthwhile evaluating. </w:t>
      </w:r>
    </w:p>
    <w:p w14:paraId="66C764E3" w14:textId="3C8189A9" w:rsidR="00414D62" w:rsidRDefault="000E20E0" w:rsidP="002901F0">
      <w:pPr>
        <w:keepNext/>
      </w:pPr>
      <w:r>
        <w:t>Figure 2</w:t>
      </w:r>
      <w:r w:rsidR="006C7AC7">
        <w:t>.</w:t>
      </w:r>
      <w:r w:rsidR="002901F0">
        <w:t>1</w:t>
      </w:r>
      <w:r>
        <w:t xml:space="preserve">: </w:t>
      </w:r>
      <w:r w:rsidR="00C609B1">
        <w:t xml:space="preserve">Criteria used to </w:t>
      </w:r>
      <w:r w:rsidR="009440DF">
        <w:t xml:space="preserve">focus efforts </w:t>
      </w:r>
      <w:r w:rsidR="00A70D80">
        <w:t xml:space="preserve">to </w:t>
      </w:r>
      <w:r>
        <w:t xml:space="preserve">support stronger evaluation designs </w:t>
      </w:r>
    </w:p>
    <w:p w14:paraId="5507C516" w14:textId="35C39534" w:rsidR="00414D62" w:rsidRDefault="00BE2DC4" w:rsidP="008631B4">
      <w:pPr>
        <w:jc w:val="center"/>
      </w:pPr>
      <w:r w:rsidRPr="00BE2DC4">
        <w:rPr>
          <w:noProof/>
        </w:rPr>
        <w:drawing>
          <wp:inline distT="0" distB="0" distL="0" distR="0" wp14:anchorId="42104F22" wp14:editId="2DE0DA31">
            <wp:extent cx="4113530" cy="2270301"/>
            <wp:effectExtent l="0" t="0" r="1270" b="0"/>
            <wp:docPr id="3161973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t="8181" b="4684"/>
                    <a:stretch/>
                  </pic:blipFill>
                  <pic:spPr bwMode="auto">
                    <a:xfrm>
                      <a:off x="0" y="0"/>
                      <a:ext cx="4118375" cy="2272975"/>
                    </a:xfrm>
                    <a:prstGeom prst="rect">
                      <a:avLst/>
                    </a:prstGeom>
                    <a:noFill/>
                    <a:ln>
                      <a:noFill/>
                    </a:ln>
                    <a:extLst>
                      <a:ext uri="{53640926-AAD7-44D8-BBD7-CCE9431645EC}">
                        <a14:shadowObscured xmlns:a14="http://schemas.microsoft.com/office/drawing/2010/main"/>
                      </a:ext>
                    </a:extLst>
                  </pic:spPr>
                </pic:pic>
              </a:graphicData>
            </a:graphic>
          </wp:inline>
        </w:drawing>
      </w:r>
    </w:p>
    <w:p w14:paraId="1F091508" w14:textId="36710324" w:rsidR="00045E69" w:rsidRDefault="00AF7868" w:rsidP="00AF7868">
      <w:r>
        <w:t>Some tension ha</w:t>
      </w:r>
      <w:r w:rsidR="009D325C">
        <w:t>s</w:t>
      </w:r>
      <w:r>
        <w:t xml:space="preserve"> emerged because providers are being asked to </w:t>
      </w:r>
      <w:r w:rsidR="00856BA5">
        <w:t xml:space="preserve">make at least a minimum </w:t>
      </w:r>
      <w:r w:rsidR="00DB6BB2">
        <w:t xml:space="preserve">APP </w:t>
      </w:r>
      <w:r>
        <w:t>commit</w:t>
      </w:r>
      <w:r w:rsidR="00856BA5">
        <w:t>ment</w:t>
      </w:r>
      <w:r>
        <w:t xml:space="preserve"> to Type 2 evaluation across the board as part of their Intervention Strategies</w:t>
      </w:r>
      <w:r w:rsidR="009B15FC">
        <w:t xml:space="preserve">. </w:t>
      </w:r>
      <w:r w:rsidR="00E70A9C">
        <w:t>I</w:t>
      </w:r>
      <w:r>
        <w:t>n practice it could be hard to evaluate all activities to the same extent a</w:t>
      </w:r>
      <w:r w:rsidR="00DD694D">
        <w:t>l</w:t>
      </w:r>
      <w:r>
        <w:t xml:space="preserve">l the time (although </w:t>
      </w:r>
      <w:r w:rsidR="00DD694D">
        <w:t xml:space="preserve">successively </w:t>
      </w:r>
      <w:r>
        <w:t xml:space="preserve">strong evidence could emerge </w:t>
      </w:r>
      <w:r w:rsidR="00045E69">
        <w:t>over</w:t>
      </w:r>
      <w:r>
        <w:t xml:space="preserve"> the lifetime of the APP)</w:t>
      </w:r>
      <w:r w:rsidR="003B1B27">
        <w:t>; f</w:t>
      </w:r>
      <w:r w:rsidR="00C15543">
        <w:t>or example, for remedial activities where there is no obvious comparison group.</w:t>
      </w:r>
      <w:r>
        <w:t xml:space="preserve"> </w:t>
      </w:r>
      <w:r w:rsidR="00876C4F">
        <w:t xml:space="preserve">Light touch activities might not warrant the level of data collection needed for a Type 2 evaluation. </w:t>
      </w:r>
      <w:r w:rsidR="002C65B9">
        <w:t>A</w:t>
      </w:r>
      <w:r w:rsidR="00045E69">
        <w:t>nother</w:t>
      </w:r>
      <w:r w:rsidR="002C65B9">
        <w:t xml:space="preserve"> key issue is whether </w:t>
      </w:r>
      <w:r>
        <w:t xml:space="preserve">some interventions </w:t>
      </w:r>
      <w:r w:rsidR="00876C4F">
        <w:t>a</w:t>
      </w:r>
      <w:r>
        <w:t xml:space="preserve">re designed to have an indirect benefit </w:t>
      </w:r>
      <w:r w:rsidR="00235E4C">
        <w:t xml:space="preserve">– so the impact is </w:t>
      </w:r>
      <w:r>
        <w:t xml:space="preserve">less direct in terms of </w:t>
      </w:r>
      <w:r w:rsidR="00235E4C">
        <w:t xml:space="preserve">being able to </w:t>
      </w:r>
      <w:proofErr w:type="gramStart"/>
      <w:r w:rsidR="00235E4C">
        <w:t>definitely identify</w:t>
      </w:r>
      <w:proofErr w:type="gramEnd"/>
      <w:r w:rsidR="00235E4C">
        <w:t xml:space="preserve"> the </w:t>
      </w:r>
      <w:proofErr w:type="gramStart"/>
      <w:r>
        <w:t>cause and effect</w:t>
      </w:r>
      <w:proofErr w:type="gramEnd"/>
      <w:r>
        <w:t xml:space="preserve"> outcomes and impacts. </w:t>
      </w:r>
    </w:p>
    <w:p w14:paraId="0777A0FE" w14:textId="77777777" w:rsidR="004D2602" w:rsidRPr="00C568BB" w:rsidRDefault="004D2602" w:rsidP="004D2602">
      <w:pPr>
        <w:ind w:left="576"/>
      </w:pPr>
      <w:r w:rsidRPr="00C568BB">
        <w:rPr>
          <w:i/>
          <w:iCs/>
        </w:rPr>
        <w:t xml:space="preserve">Some interventions – such as sessions (for staff) on gender equality - it’s not in our control to do it </w:t>
      </w:r>
      <w:r w:rsidRPr="00C568BB">
        <w:t>[evaluation]</w:t>
      </w:r>
      <w:r w:rsidRPr="00C568BB">
        <w:rPr>
          <w:i/>
          <w:iCs/>
        </w:rPr>
        <w:t>, that’s a capacity issue.</w:t>
      </w:r>
      <w:r w:rsidRPr="00C568BB">
        <w:t xml:space="preserve"> </w:t>
      </w:r>
    </w:p>
    <w:p w14:paraId="58DA7209" w14:textId="3E4E493B" w:rsidR="00854AC3" w:rsidRDefault="00973895" w:rsidP="00AF7868">
      <w:r>
        <w:t>N</w:t>
      </w:r>
      <w:r w:rsidR="005C4F82">
        <w:t xml:space="preserve">ot every activity </w:t>
      </w:r>
      <w:r w:rsidR="00152B61">
        <w:t>needs to</w:t>
      </w:r>
      <w:r w:rsidR="005C4F82">
        <w:t xml:space="preserve"> be evaluated </w:t>
      </w:r>
      <w:r w:rsidR="003B4152">
        <w:t xml:space="preserve">to the same extent </w:t>
      </w:r>
      <w:r w:rsidR="005C4F82">
        <w:t xml:space="preserve">every year – </w:t>
      </w:r>
      <w:r w:rsidR="00152B61">
        <w:t xml:space="preserve">and for some interventions </w:t>
      </w:r>
      <w:r w:rsidR="005C4F82">
        <w:t xml:space="preserve">evidence of good impact </w:t>
      </w:r>
      <w:r w:rsidR="00152B61">
        <w:t>might already be</w:t>
      </w:r>
      <w:r w:rsidR="005C4F82">
        <w:t xml:space="preserve"> established in the existing evidence base or </w:t>
      </w:r>
      <w:r w:rsidR="00854AC3">
        <w:t xml:space="preserve">the available </w:t>
      </w:r>
      <w:r w:rsidR="005C4F82">
        <w:t>institutional level evaluations (Type 1), especially if it was delivering only a ‘light-touch’ contribution to the overall objectives.</w:t>
      </w:r>
      <w:r w:rsidR="005327E8">
        <w:t xml:space="preserve"> The principle of proportionality in the standards of evidence supports the view that </w:t>
      </w:r>
      <w:r w:rsidR="00125D6A">
        <w:t xml:space="preserve">low level and light tough interventions might not warrant the resource involved in </w:t>
      </w:r>
      <w:r w:rsidR="00B90EB6">
        <w:t>Type 2/3</w:t>
      </w:r>
      <w:r w:rsidR="00A976E3">
        <w:t xml:space="preserve"> evidence generation</w:t>
      </w:r>
      <w:r w:rsidR="00D15EF3">
        <w:t>.</w:t>
      </w:r>
      <w:r w:rsidR="00A959E0">
        <w:t xml:space="preserve"> At the same </w:t>
      </w:r>
      <w:r w:rsidR="007271CB">
        <w:t>time,</w:t>
      </w:r>
      <w:r w:rsidR="00A959E0">
        <w:t xml:space="preserve"> </w:t>
      </w:r>
      <w:r w:rsidR="00F12338">
        <w:t xml:space="preserve">the need for </w:t>
      </w:r>
      <w:r w:rsidR="0030255E">
        <w:t>Type 2</w:t>
      </w:r>
      <w:r w:rsidR="00710663">
        <w:t xml:space="preserve"> </w:t>
      </w:r>
      <w:r w:rsidR="00A959E0">
        <w:t xml:space="preserve">evidence </w:t>
      </w:r>
      <w:r w:rsidR="003D02B4">
        <w:t>implies</w:t>
      </w:r>
      <w:r w:rsidR="00A959E0">
        <w:t xml:space="preserve"> </w:t>
      </w:r>
      <w:r w:rsidR="00531370">
        <w:t xml:space="preserve">evaluating how interventions work together to deliver a beneficial </w:t>
      </w:r>
      <w:r w:rsidR="003D02B4">
        <w:t>outcome</w:t>
      </w:r>
      <w:r w:rsidR="00531370">
        <w:t xml:space="preserve">. </w:t>
      </w:r>
    </w:p>
    <w:p w14:paraId="2C5F6FE0" w14:textId="53B8FF41" w:rsidR="000B0DD0" w:rsidRDefault="0013493A" w:rsidP="00EC1C68">
      <w:pPr>
        <w:pStyle w:val="Heading3"/>
      </w:pPr>
      <w:bookmarkStart w:id="33" w:name="_Toc204556350"/>
      <w:bookmarkStart w:id="34" w:name="_Toc204556561"/>
      <w:bookmarkStart w:id="35" w:name="_Toc205033884"/>
      <w:bookmarkStart w:id="36" w:name="_Toc205498243"/>
      <w:bookmarkStart w:id="37" w:name="_Toc205504257"/>
      <w:r>
        <w:t xml:space="preserve">3.2.5 </w:t>
      </w:r>
      <w:r w:rsidR="000B0DD0">
        <w:t xml:space="preserve">Supporting good practice approaches to </w:t>
      </w:r>
      <w:r w:rsidR="002D0949">
        <w:t xml:space="preserve">impact </w:t>
      </w:r>
      <w:r w:rsidR="000B0DD0">
        <w:t>evaluation</w:t>
      </w:r>
      <w:bookmarkEnd w:id="33"/>
      <w:bookmarkEnd w:id="34"/>
      <w:bookmarkEnd w:id="35"/>
      <w:bookmarkEnd w:id="36"/>
      <w:bookmarkEnd w:id="37"/>
      <w:r w:rsidR="000B0DD0">
        <w:t xml:space="preserve"> </w:t>
      </w:r>
    </w:p>
    <w:p w14:paraId="38B98A7A" w14:textId="52255253" w:rsidR="000B0DD0" w:rsidRDefault="000B0DD0" w:rsidP="00AC6A8A">
      <w:r>
        <w:t>Alongside other evaluation guidance and tools, the standards support good practice approaches to intervention planning</w:t>
      </w:r>
      <w:r w:rsidR="00EF4621">
        <w:t xml:space="preserve"> –</w:t>
      </w:r>
      <w:r w:rsidR="00AC6A8A">
        <w:t xml:space="preserve"> such as </w:t>
      </w:r>
      <w:r w:rsidR="006C7573">
        <w:t xml:space="preserve">having an evidence based for what is delivered and </w:t>
      </w:r>
      <w:r w:rsidR="003C1E17">
        <w:t>being clear on the expected results</w:t>
      </w:r>
      <w:r w:rsidR="00D368D7">
        <w:t xml:space="preserve">. </w:t>
      </w:r>
      <w:r w:rsidR="00461769">
        <w:t xml:space="preserve">An expectation for </w:t>
      </w:r>
      <w:r w:rsidR="00B463A0">
        <w:t xml:space="preserve">Type 1 evaluation </w:t>
      </w:r>
      <w:r w:rsidR="006633AF">
        <w:t xml:space="preserve">has led providers to examine the evidence base </w:t>
      </w:r>
      <w:r w:rsidR="00A54FA7">
        <w:t>to</w:t>
      </w:r>
      <w:r>
        <w:t xml:space="preserve"> ensur</w:t>
      </w:r>
      <w:r w:rsidR="00A54FA7">
        <w:t>e</w:t>
      </w:r>
      <w:r>
        <w:t xml:space="preserve"> a rationale for the interventions taking place</w:t>
      </w:r>
      <w:r w:rsidR="00A54FA7">
        <w:t xml:space="preserve">. </w:t>
      </w:r>
      <w:r w:rsidR="00974ED0">
        <w:t xml:space="preserve">Building the impact narrative was at the forefront of thinking, although the </w:t>
      </w:r>
      <w:r w:rsidR="0037502E">
        <w:t xml:space="preserve">extent to which providers </w:t>
      </w:r>
      <w:r w:rsidR="00974ED0">
        <w:t>drew</w:t>
      </w:r>
      <w:r w:rsidR="0037502E">
        <w:t xml:space="preserve"> on external evidence </w:t>
      </w:r>
      <w:r w:rsidR="00974ED0">
        <w:t xml:space="preserve">varied. </w:t>
      </w:r>
    </w:p>
    <w:p w14:paraId="18ADBA1B" w14:textId="784F1DFA" w:rsidR="000B0DD0" w:rsidRDefault="000B0DD0" w:rsidP="00FA3B8C">
      <w:pPr>
        <w:ind w:left="567"/>
        <w:rPr>
          <w:i/>
          <w:iCs/>
        </w:rPr>
      </w:pPr>
      <w:r w:rsidRPr="00FA3B8C">
        <w:rPr>
          <w:i/>
          <w:iCs/>
        </w:rPr>
        <w:t xml:space="preserve">There’s </w:t>
      </w:r>
      <w:proofErr w:type="spellStart"/>
      <w:r w:rsidRPr="00FA3B8C">
        <w:rPr>
          <w:i/>
          <w:iCs/>
        </w:rPr>
        <w:t>not</w:t>
      </w:r>
      <w:proofErr w:type="spellEnd"/>
      <w:r w:rsidRPr="00FA3B8C">
        <w:rPr>
          <w:i/>
          <w:iCs/>
        </w:rPr>
        <w:t xml:space="preserve"> time for full blown literature reviews, and anyway there’s only limited evidence. </w:t>
      </w:r>
      <w:r w:rsidR="00980955">
        <w:rPr>
          <w:i/>
          <w:iCs/>
        </w:rPr>
        <w:t>O</w:t>
      </w:r>
      <w:r w:rsidRPr="00FA3B8C">
        <w:rPr>
          <w:i/>
          <w:iCs/>
        </w:rPr>
        <w:t xml:space="preserve">ur strengths come in the work we do with </w:t>
      </w:r>
      <w:r w:rsidR="00F9283E">
        <w:rPr>
          <w:i/>
          <w:iCs/>
        </w:rPr>
        <w:t xml:space="preserve">the </w:t>
      </w:r>
      <w:r w:rsidRPr="00FA3B8C">
        <w:rPr>
          <w:i/>
          <w:iCs/>
        </w:rPr>
        <w:t>students we work with – which point</w:t>
      </w:r>
      <w:r w:rsidR="006D6BDE">
        <w:rPr>
          <w:i/>
          <w:iCs/>
        </w:rPr>
        <w:t>s</w:t>
      </w:r>
      <w:r w:rsidRPr="00FA3B8C">
        <w:rPr>
          <w:i/>
          <w:iCs/>
        </w:rPr>
        <w:t xml:space="preserve"> back to </w:t>
      </w:r>
      <w:r w:rsidR="00B02D25">
        <w:rPr>
          <w:i/>
          <w:iCs/>
        </w:rPr>
        <w:t xml:space="preserve">the </w:t>
      </w:r>
      <w:r w:rsidRPr="00FA3B8C">
        <w:rPr>
          <w:i/>
          <w:iCs/>
        </w:rPr>
        <w:t>same thing – why are we doing that</w:t>
      </w:r>
      <w:r w:rsidR="00696B12">
        <w:rPr>
          <w:i/>
          <w:iCs/>
        </w:rPr>
        <w:t xml:space="preserve"> </w:t>
      </w:r>
      <w:r w:rsidR="002B4630" w:rsidRPr="00454AEB">
        <w:t>[intervention]</w:t>
      </w:r>
      <w:r w:rsidR="00454AEB">
        <w:rPr>
          <w:i/>
          <w:iCs/>
        </w:rPr>
        <w:t>?</w:t>
      </w:r>
    </w:p>
    <w:p w14:paraId="56990A8B" w14:textId="2069FD62" w:rsidR="000B0DD0" w:rsidRDefault="00980955" w:rsidP="00E26946">
      <w:r>
        <w:t>D</w:t>
      </w:r>
      <w:r w:rsidR="005A04F0">
        <w:t xml:space="preserve">evelopments in </w:t>
      </w:r>
      <w:r>
        <w:t xml:space="preserve">the </w:t>
      </w:r>
      <w:r w:rsidR="005A04F0">
        <w:t xml:space="preserve">use of theory of change </w:t>
      </w:r>
      <w:r>
        <w:t xml:space="preserve">as an intervention and evaluation planning tool </w:t>
      </w:r>
      <w:r w:rsidR="008C1064">
        <w:t xml:space="preserve">is helping providers to achieve </w:t>
      </w:r>
      <w:r w:rsidR="005A04F0">
        <w:t xml:space="preserve">greater focus and clarity on the </w:t>
      </w:r>
      <w:r w:rsidR="0025277C">
        <w:t xml:space="preserve">hypothesises/expected </w:t>
      </w:r>
      <w:proofErr w:type="gramStart"/>
      <w:r w:rsidR="005A04F0">
        <w:t>causal-linkages</w:t>
      </w:r>
      <w:proofErr w:type="gramEnd"/>
      <w:r w:rsidR="005A04F0">
        <w:t xml:space="preserve"> </w:t>
      </w:r>
      <w:r w:rsidR="005852B7">
        <w:t xml:space="preserve">underpinning interventions </w:t>
      </w:r>
      <w:r w:rsidR="005A04F0">
        <w:t xml:space="preserve">and </w:t>
      </w:r>
      <w:r w:rsidR="005852B7">
        <w:t>associated outcome and</w:t>
      </w:r>
      <w:r w:rsidR="005A04F0">
        <w:t xml:space="preserve"> impact</w:t>
      </w:r>
      <w:r w:rsidR="005852B7">
        <w:t xml:space="preserve"> measures</w:t>
      </w:r>
      <w:r w:rsidR="005A04F0">
        <w:t>.</w:t>
      </w:r>
      <w:r w:rsidR="00E26946">
        <w:t xml:space="preserve"> </w:t>
      </w:r>
      <w:r w:rsidR="00163987">
        <w:t xml:space="preserve">All the cases were using </w:t>
      </w:r>
      <w:r w:rsidR="00756B24">
        <w:t>t</w:t>
      </w:r>
      <w:r w:rsidR="000B0DD0">
        <w:t>heory of change</w:t>
      </w:r>
      <w:r w:rsidR="00756B24">
        <w:t xml:space="preserve"> </w:t>
      </w:r>
      <w:r w:rsidR="00D37C31">
        <w:t>in some way</w:t>
      </w:r>
      <w:r w:rsidR="00163987">
        <w:t xml:space="preserve">, </w:t>
      </w:r>
      <w:r w:rsidR="00A140E1">
        <w:t>put</w:t>
      </w:r>
      <w:r w:rsidR="00163987">
        <w:t>ting</w:t>
      </w:r>
      <w:r w:rsidR="00A140E1">
        <w:t xml:space="preserve"> </w:t>
      </w:r>
      <w:r w:rsidR="00D37C31">
        <w:t>attention on the need to</w:t>
      </w:r>
      <w:r w:rsidR="00756B24">
        <w:t xml:space="preserve"> specify outcomes and impacts precisely </w:t>
      </w:r>
      <w:r w:rsidR="00471777">
        <w:t xml:space="preserve">and understand </w:t>
      </w:r>
      <w:r w:rsidR="00756B24">
        <w:t xml:space="preserve">how </w:t>
      </w:r>
      <w:r w:rsidR="00756B24">
        <w:lastRenderedPageBreak/>
        <w:t xml:space="preserve">these will be achieved. </w:t>
      </w:r>
      <w:r w:rsidR="00471777">
        <w:t>E</w:t>
      </w:r>
      <w:r w:rsidR="000B0DD0">
        <w:t xml:space="preserve">valuators </w:t>
      </w:r>
      <w:r w:rsidR="004A02C6">
        <w:t>were increasingly</w:t>
      </w:r>
      <w:r w:rsidR="000B0DD0">
        <w:t xml:space="preserve"> involve</w:t>
      </w:r>
      <w:r w:rsidR="009120A1">
        <w:t>d</w:t>
      </w:r>
      <w:r w:rsidR="000B0DD0">
        <w:t xml:space="preserve"> in intervention design and plannin</w:t>
      </w:r>
      <w:r w:rsidR="0027549A">
        <w:t>g</w:t>
      </w:r>
      <w:r w:rsidR="004A02C6">
        <w:t xml:space="preserve"> for </w:t>
      </w:r>
      <w:r w:rsidR="000B0DD0">
        <w:t xml:space="preserve">new </w:t>
      </w:r>
      <w:r w:rsidR="0027549A">
        <w:t xml:space="preserve">and existing </w:t>
      </w:r>
      <w:r w:rsidR="000B0DD0">
        <w:t>initiatives</w:t>
      </w:r>
      <w:r w:rsidR="00136CFD">
        <w:t xml:space="preserve">, which is </w:t>
      </w:r>
      <w:r w:rsidR="004A02C6">
        <w:t>contributing to</w:t>
      </w:r>
      <w:r w:rsidR="00136CFD">
        <w:t xml:space="preserve"> evaluation capability</w:t>
      </w:r>
      <w:r w:rsidR="0011552C">
        <w:t xml:space="preserve"> building</w:t>
      </w:r>
      <w:r w:rsidR="000B0DD0">
        <w:t xml:space="preserve">. </w:t>
      </w:r>
    </w:p>
    <w:p w14:paraId="78252D18" w14:textId="5A238380" w:rsidR="007E0FF2" w:rsidRDefault="00695213" w:rsidP="00806C7B">
      <w:pPr>
        <w:ind w:left="720"/>
        <w:rPr>
          <w:i/>
          <w:iCs/>
        </w:rPr>
      </w:pPr>
      <w:r>
        <w:rPr>
          <w:i/>
          <w:iCs/>
        </w:rPr>
        <w:t xml:space="preserve">You </w:t>
      </w:r>
      <w:r w:rsidRPr="00695213">
        <w:rPr>
          <w:i/>
          <w:iCs/>
        </w:rPr>
        <w:t xml:space="preserve">can’t evaluate if </w:t>
      </w:r>
      <w:r>
        <w:rPr>
          <w:i/>
          <w:iCs/>
        </w:rPr>
        <w:t xml:space="preserve">you </w:t>
      </w:r>
      <w:r w:rsidRPr="00695213">
        <w:rPr>
          <w:i/>
          <w:iCs/>
        </w:rPr>
        <w:t>don’t know what</w:t>
      </w:r>
      <w:r w:rsidR="00003140">
        <w:rPr>
          <w:i/>
          <w:iCs/>
        </w:rPr>
        <w:t>’s</w:t>
      </w:r>
      <w:r w:rsidRPr="00695213">
        <w:rPr>
          <w:i/>
          <w:iCs/>
        </w:rPr>
        <w:t xml:space="preserve"> being delivered – </w:t>
      </w:r>
      <w:r>
        <w:rPr>
          <w:i/>
          <w:iCs/>
        </w:rPr>
        <w:t xml:space="preserve">that’s </w:t>
      </w:r>
      <w:r w:rsidRPr="00695213">
        <w:rPr>
          <w:i/>
          <w:iCs/>
        </w:rPr>
        <w:t xml:space="preserve">why </w:t>
      </w:r>
      <w:proofErr w:type="gramStart"/>
      <w:r w:rsidRPr="00695213">
        <w:rPr>
          <w:i/>
          <w:iCs/>
        </w:rPr>
        <w:t>TOC</w:t>
      </w:r>
      <w:r>
        <w:rPr>
          <w:i/>
          <w:iCs/>
        </w:rPr>
        <w:t>’s</w:t>
      </w:r>
      <w:proofErr w:type="gramEnd"/>
      <w:r w:rsidRPr="00695213">
        <w:rPr>
          <w:i/>
          <w:iCs/>
        </w:rPr>
        <w:t xml:space="preserve"> important</w:t>
      </w:r>
      <w:r>
        <w:rPr>
          <w:i/>
          <w:iCs/>
        </w:rPr>
        <w:t>.</w:t>
      </w:r>
    </w:p>
    <w:p w14:paraId="7D39473C" w14:textId="439DFC88" w:rsidR="00695213" w:rsidRDefault="007E0FF2" w:rsidP="00806C7B">
      <w:pPr>
        <w:ind w:left="720"/>
        <w:rPr>
          <w:i/>
          <w:iCs/>
        </w:rPr>
      </w:pPr>
      <w:r w:rsidRPr="00DC7963">
        <w:rPr>
          <w:i/>
          <w:iCs/>
        </w:rPr>
        <w:t>Using a logic model enables us to attribute individual impact to a programme (context, assumptions and mechanisms). This is a change in culture. Before it was: no context, no strategy, 1-2 outcome measures, no benchmarking, no assumptions</w:t>
      </w:r>
      <w:r w:rsidR="00C62D2B">
        <w:rPr>
          <w:i/>
          <w:iCs/>
        </w:rPr>
        <w:t xml:space="preserve">. </w:t>
      </w:r>
      <w:proofErr w:type="gramStart"/>
      <w:r w:rsidR="00C62D2B">
        <w:rPr>
          <w:i/>
          <w:iCs/>
        </w:rPr>
        <w:t>S</w:t>
      </w:r>
      <w:r w:rsidRPr="00DC7963">
        <w:rPr>
          <w:i/>
          <w:iCs/>
        </w:rPr>
        <w:t>o</w:t>
      </w:r>
      <w:proofErr w:type="gramEnd"/>
      <w:r w:rsidRPr="00DC7963">
        <w:rPr>
          <w:i/>
          <w:iCs/>
        </w:rPr>
        <w:t xml:space="preserve"> it’s been quite key to use TOC – this is what </w:t>
      </w:r>
      <w:r w:rsidR="00C62D2B">
        <w:rPr>
          <w:i/>
          <w:iCs/>
        </w:rPr>
        <w:t xml:space="preserve">we’re </w:t>
      </w:r>
      <w:r w:rsidRPr="00DC7963">
        <w:rPr>
          <w:i/>
          <w:iCs/>
        </w:rPr>
        <w:t xml:space="preserve">aiming for and why. </w:t>
      </w:r>
      <w:r w:rsidR="00695213">
        <w:rPr>
          <w:i/>
          <w:iCs/>
        </w:rPr>
        <w:t xml:space="preserve"> </w:t>
      </w:r>
    </w:p>
    <w:p w14:paraId="5C0FDA31" w14:textId="09BBC1BC" w:rsidR="00A642CA" w:rsidRPr="00A642CA" w:rsidRDefault="00A642CA" w:rsidP="00A642CA">
      <w:pPr>
        <w:ind w:left="720"/>
      </w:pPr>
      <w:r>
        <w:rPr>
          <w:i/>
          <w:iCs/>
        </w:rPr>
        <w:t xml:space="preserve">We didn’t make </w:t>
      </w:r>
      <w:r w:rsidRPr="00695213">
        <w:rPr>
          <w:i/>
          <w:iCs/>
        </w:rPr>
        <w:t xml:space="preserve">funding decisions but need </w:t>
      </w:r>
      <w:r>
        <w:rPr>
          <w:i/>
          <w:iCs/>
        </w:rPr>
        <w:t xml:space="preserve">a </w:t>
      </w:r>
      <w:r w:rsidRPr="00695213">
        <w:rPr>
          <w:i/>
          <w:iCs/>
        </w:rPr>
        <w:t xml:space="preserve">good idea of why </w:t>
      </w:r>
      <w:r>
        <w:rPr>
          <w:i/>
          <w:iCs/>
        </w:rPr>
        <w:t xml:space="preserve">interventions were </w:t>
      </w:r>
      <w:r w:rsidRPr="00695213">
        <w:rPr>
          <w:i/>
          <w:iCs/>
        </w:rPr>
        <w:t xml:space="preserve">commissioned – </w:t>
      </w:r>
      <w:r>
        <w:rPr>
          <w:i/>
          <w:iCs/>
        </w:rPr>
        <w:t xml:space="preserve">we </w:t>
      </w:r>
      <w:r w:rsidRPr="00695213">
        <w:rPr>
          <w:i/>
          <w:iCs/>
        </w:rPr>
        <w:t xml:space="preserve">ask </w:t>
      </w:r>
      <w:r>
        <w:rPr>
          <w:i/>
          <w:iCs/>
        </w:rPr>
        <w:t xml:space="preserve">the </w:t>
      </w:r>
      <w:r w:rsidRPr="00695213">
        <w:rPr>
          <w:i/>
          <w:iCs/>
        </w:rPr>
        <w:t xml:space="preserve">questions about </w:t>
      </w:r>
      <w:r>
        <w:rPr>
          <w:i/>
          <w:iCs/>
        </w:rPr>
        <w:t xml:space="preserve">the </w:t>
      </w:r>
      <w:r w:rsidRPr="00695213">
        <w:rPr>
          <w:i/>
          <w:iCs/>
        </w:rPr>
        <w:t xml:space="preserve">rationale and what </w:t>
      </w:r>
      <w:r>
        <w:rPr>
          <w:i/>
          <w:iCs/>
        </w:rPr>
        <w:t xml:space="preserve">it’ll </w:t>
      </w:r>
      <w:r w:rsidRPr="00695213">
        <w:rPr>
          <w:i/>
          <w:iCs/>
        </w:rPr>
        <w:t xml:space="preserve">achieve, </w:t>
      </w:r>
      <w:r>
        <w:rPr>
          <w:i/>
          <w:iCs/>
        </w:rPr>
        <w:t xml:space="preserve">we </w:t>
      </w:r>
      <w:r w:rsidRPr="00695213">
        <w:rPr>
          <w:i/>
          <w:iCs/>
        </w:rPr>
        <w:t xml:space="preserve">get answers out of project leads. </w:t>
      </w:r>
    </w:p>
    <w:p w14:paraId="44221DE0" w14:textId="61B4B1E2" w:rsidR="00E31103" w:rsidRDefault="00E31103" w:rsidP="00E31103">
      <w:r>
        <w:t xml:space="preserve">A benefit of TOC currently, given the stage of APP implementation, was in terms of the rationale for interventions and the focus on gaining clarity on outcomes and impacts. </w:t>
      </w:r>
    </w:p>
    <w:p w14:paraId="6BE0EB98" w14:textId="77777777" w:rsidR="00E31103" w:rsidRPr="0094613B" w:rsidRDefault="00E31103" w:rsidP="00E31103">
      <w:pPr>
        <w:ind w:left="720"/>
        <w:rPr>
          <w:i/>
          <w:iCs/>
        </w:rPr>
      </w:pPr>
      <w:r>
        <w:rPr>
          <w:i/>
          <w:iCs/>
        </w:rPr>
        <w:t xml:space="preserve">Getting a </w:t>
      </w:r>
      <w:r w:rsidRPr="00695213">
        <w:rPr>
          <w:i/>
          <w:iCs/>
        </w:rPr>
        <w:t xml:space="preserve">TOC in place </w:t>
      </w:r>
      <w:r>
        <w:rPr>
          <w:i/>
          <w:iCs/>
        </w:rPr>
        <w:t>and</w:t>
      </w:r>
      <w:r w:rsidRPr="00695213">
        <w:rPr>
          <w:i/>
          <w:iCs/>
        </w:rPr>
        <w:t xml:space="preserve"> having basic monitoring data – </w:t>
      </w:r>
      <w:r>
        <w:rPr>
          <w:i/>
          <w:iCs/>
        </w:rPr>
        <w:t xml:space="preserve">that’s </w:t>
      </w:r>
      <w:r w:rsidRPr="00695213">
        <w:rPr>
          <w:i/>
          <w:iCs/>
        </w:rPr>
        <w:t>a good success</w:t>
      </w:r>
      <w:r>
        <w:rPr>
          <w:i/>
          <w:iCs/>
        </w:rPr>
        <w:t xml:space="preserve"> at this stage. </w:t>
      </w:r>
    </w:p>
    <w:p w14:paraId="658F921A" w14:textId="5EEDE27C" w:rsidR="000B0DD0" w:rsidRDefault="00F7255A" w:rsidP="000B0DD0">
      <w:r>
        <w:t xml:space="preserve">The main value is in the process of reflection and deliberation on the activities (rather than the TOC as an end in itself). </w:t>
      </w:r>
      <w:r w:rsidR="00B610DC">
        <w:t xml:space="preserve">TOCs were </w:t>
      </w:r>
      <w:r w:rsidR="001201AF">
        <w:t xml:space="preserve">helping to </w:t>
      </w:r>
      <w:r w:rsidR="00CE752E">
        <w:t>generate</w:t>
      </w:r>
      <w:r w:rsidR="001201AF">
        <w:t xml:space="preserve"> </w:t>
      </w:r>
      <w:r w:rsidR="005E6C0F">
        <w:t xml:space="preserve">Type 1 </w:t>
      </w:r>
      <w:r w:rsidR="00CE752E">
        <w:t xml:space="preserve">evidence whether this was existing evidence, learning from practice, </w:t>
      </w:r>
      <w:r w:rsidR="00F7734D">
        <w:t>and/</w:t>
      </w:r>
      <w:r w:rsidR="00CE752E">
        <w:t>or drawing on practitioner insights</w:t>
      </w:r>
      <w:r w:rsidR="00C93B96">
        <w:t xml:space="preserve"> through TOC building sessions</w:t>
      </w:r>
      <w:r w:rsidR="00CE752E">
        <w:t xml:space="preserve">.   </w:t>
      </w:r>
      <w:r w:rsidR="000B0DD0">
        <w:t xml:space="preserve"> </w:t>
      </w:r>
    </w:p>
    <w:p w14:paraId="25B7612B" w14:textId="46DA876B" w:rsidR="001F6A0F" w:rsidRDefault="000B0DD0" w:rsidP="007E0FF2">
      <w:pPr>
        <w:ind w:left="720"/>
        <w:rPr>
          <w:i/>
          <w:iCs/>
        </w:rPr>
      </w:pPr>
      <w:r w:rsidRPr="0094613B">
        <w:rPr>
          <w:i/>
          <w:iCs/>
        </w:rPr>
        <w:t>My role is important for the design of TOC</w:t>
      </w:r>
      <w:r w:rsidR="00E20537">
        <w:rPr>
          <w:i/>
          <w:iCs/>
        </w:rPr>
        <w:t>s</w:t>
      </w:r>
      <w:r w:rsidRPr="0094613B">
        <w:rPr>
          <w:i/>
          <w:iCs/>
        </w:rPr>
        <w:t xml:space="preserve"> – I do a lot of </w:t>
      </w:r>
      <w:proofErr w:type="gramStart"/>
      <w:r w:rsidRPr="0094613B">
        <w:rPr>
          <w:i/>
          <w:iCs/>
        </w:rPr>
        <w:t>admin</w:t>
      </w:r>
      <w:proofErr w:type="gramEnd"/>
      <w:r w:rsidRPr="0094613B">
        <w:rPr>
          <w:i/>
          <w:iCs/>
        </w:rPr>
        <w:t xml:space="preserve"> for it – and have capacity to do research. This is part of evidence base</w:t>
      </w:r>
      <w:r w:rsidR="00117924">
        <w:rPr>
          <w:i/>
          <w:iCs/>
        </w:rPr>
        <w:t>-</w:t>
      </w:r>
      <w:r w:rsidRPr="0094613B">
        <w:rPr>
          <w:i/>
          <w:iCs/>
        </w:rPr>
        <w:t>building – literature reviews – mak</w:t>
      </w:r>
      <w:r w:rsidR="00E20537">
        <w:rPr>
          <w:i/>
          <w:iCs/>
        </w:rPr>
        <w:t>ing</w:t>
      </w:r>
      <w:r w:rsidRPr="0094613B">
        <w:rPr>
          <w:i/>
          <w:iCs/>
        </w:rPr>
        <w:t xml:space="preserve"> sure there’s an evidence base behind it. That for everything there’s a reason, policy or approach rooted in research. This lends to creating TOCs more easily – knowing where we’re going and what we’ll get out of it. </w:t>
      </w:r>
    </w:p>
    <w:p w14:paraId="35779B74" w14:textId="2D59539C" w:rsidR="00E9314F" w:rsidRPr="00DC7963" w:rsidRDefault="00E9314F" w:rsidP="00E9314F">
      <w:pPr>
        <w:ind w:left="720"/>
        <w:rPr>
          <w:i/>
          <w:iCs/>
        </w:rPr>
      </w:pPr>
      <w:r w:rsidRPr="0094613B">
        <w:rPr>
          <w:i/>
          <w:iCs/>
        </w:rPr>
        <w:t>The TOC helps to see different outcomes for different stakeholders, which we can break</w:t>
      </w:r>
      <w:r w:rsidR="003C4FE3">
        <w:rPr>
          <w:i/>
          <w:iCs/>
        </w:rPr>
        <w:t xml:space="preserve"> </w:t>
      </w:r>
      <w:r w:rsidRPr="0094613B">
        <w:rPr>
          <w:i/>
          <w:iCs/>
        </w:rPr>
        <w:t xml:space="preserve">down in the evaluation. Most importantly, what are the student outcomes when they’re involved in design – what do they want to get out of </w:t>
      </w:r>
      <w:proofErr w:type="gramStart"/>
      <w:r w:rsidRPr="0094613B">
        <w:rPr>
          <w:i/>
          <w:iCs/>
        </w:rPr>
        <w:t>it?.</w:t>
      </w:r>
      <w:proofErr w:type="gramEnd"/>
      <w:r w:rsidRPr="0094613B">
        <w:rPr>
          <w:i/>
          <w:iCs/>
        </w:rPr>
        <w:t xml:space="preserve"> </w:t>
      </w:r>
    </w:p>
    <w:p w14:paraId="0E72BB6C" w14:textId="766EB98B" w:rsidR="00B221A8" w:rsidRDefault="00B221A8" w:rsidP="008F08FD">
      <w:r>
        <w:t xml:space="preserve">Use of theory of change </w:t>
      </w:r>
      <w:r w:rsidR="000F4B6C">
        <w:t xml:space="preserve">work was clearly </w:t>
      </w:r>
      <w:r w:rsidR="008924EE">
        <w:t xml:space="preserve">boosting the Type 1 impact evidence </w:t>
      </w:r>
      <w:r w:rsidR="006E1014">
        <w:t xml:space="preserve">available to be </w:t>
      </w:r>
      <w:r w:rsidR="008924EE">
        <w:t xml:space="preserve">considered in </w:t>
      </w:r>
      <w:r w:rsidR="00F555DE">
        <w:t xml:space="preserve">formative </w:t>
      </w:r>
      <w:r w:rsidR="006E1014">
        <w:t xml:space="preserve">intervention </w:t>
      </w:r>
      <w:r w:rsidR="008924EE">
        <w:t xml:space="preserve">decision-making. </w:t>
      </w:r>
      <w:r w:rsidR="00F555DE">
        <w:t>I</w:t>
      </w:r>
      <w:r w:rsidR="00EF732D">
        <w:t xml:space="preserve">t </w:t>
      </w:r>
      <w:r w:rsidR="00F555DE">
        <w:t xml:space="preserve">is also likely to have </w:t>
      </w:r>
      <w:r w:rsidR="00EF732D">
        <w:t xml:space="preserve">implications for </w:t>
      </w:r>
      <w:r w:rsidR="00DA2740">
        <w:t>theory-</w:t>
      </w:r>
      <w:r w:rsidR="007D5D2A">
        <w:t xml:space="preserve">based evaluation to </w:t>
      </w:r>
      <w:proofErr w:type="spellStart"/>
      <w:r w:rsidR="00597C31">
        <w:t>summatively</w:t>
      </w:r>
      <w:proofErr w:type="spellEnd"/>
      <w:r w:rsidR="00597C31">
        <w:t xml:space="preserve"> </w:t>
      </w:r>
      <w:r w:rsidR="00DA2740">
        <w:t xml:space="preserve">assess impact </w:t>
      </w:r>
      <w:r w:rsidR="007D5D2A">
        <w:t xml:space="preserve">– although this </w:t>
      </w:r>
      <w:r w:rsidR="006B22D7">
        <w:t>will probably evolve over time and is</w:t>
      </w:r>
      <w:r w:rsidR="00DA2740">
        <w:t xml:space="preserve"> not yet reflect</w:t>
      </w:r>
      <w:r w:rsidR="004805EC">
        <w:t>ed</w:t>
      </w:r>
      <w:r w:rsidR="00DA2740">
        <w:t xml:space="preserve"> in the standard of evidence</w:t>
      </w:r>
      <w:r w:rsidR="00597C31">
        <w:t xml:space="preserve"> types</w:t>
      </w:r>
      <w:r w:rsidR="00DA2740">
        <w:t xml:space="preserve">. </w:t>
      </w:r>
      <w:r w:rsidR="008924EE">
        <w:t xml:space="preserve"> </w:t>
      </w:r>
    </w:p>
    <w:p w14:paraId="4E72EF01" w14:textId="361E16D1" w:rsidR="00B221A8" w:rsidRPr="00B221A8" w:rsidRDefault="00B221A8" w:rsidP="00B221A8">
      <w:pPr>
        <w:ind w:left="720"/>
        <w:rPr>
          <w:i/>
          <w:iCs/>
        </w:rPr>
      </w:pPr>
      <w:r w:rsidRPr="009442DE">
        <w:rPr>
          <w:i/>
          <w:iCs/>
        </w:rPr>
        <w:t xml:space="preserve">I’m excited about TOC – it catches the thinking. You can show a more considered way of thinking about things and what could have more impact, rather than just how good you’ve been and justifying the money you’re already receiving. </w:t>
      </w:r>
    </w:p>
    <w:p w14:paraId="11F0684F" w14:textId="07FE3380" w:rsidR="000B0DD0" w:rsidRDefault="00B0197A" w:rsidP="000B0DD0">
      <w:r>
        <w:t>The feedback from key informants suggest</w:t>
      </w:r>
      <w:r w:rsidR="00134057">
        <w:t>ed that</w:t>
      </w:r>
      <w:r>
        <w:t xml:space="preserve"> an upcoming</w:t>
      </w:r>
      <w:r w:rsidR="006A3351">
        <w:t xml:space="preserve"> </w:t>
      </w:r>
      <w:r w:rsidR="00A979CC">
        <w:t xml:space="preserve">challenge </w:t>
      </w:r>
      <w:r w:rsidR="006A3351">
        <w:t>will be</w:t>
      </w:r>
      <w:r w:rsidR="00A979CC">
        <w:t xml:space="preserve"> making sure the</w:t>
      </w:r>
      <w:r w:rsidR="000B0DD0">
        <w:t xml:space="preserve"> theory of change models </w:t>
      </w:r>
      <w:r w:rsidR="00A979CC">
        <w:t>w</w:t>
      </w:r>
      <w:r w:rsidR="000B0DD0">
        <w:t xml:space="preserve">ould be ‘living </w:t>
      </w:r>
      <w:proofErr w:type="gramStart"/>
      <w:r w:rsidR="000B0DD0">
        <w:t>documents’</w:t>
      </w:r>
      <w:proofErr w:type="gramEnd"/>
      <w:r w:rsidR="000B0DD0">
        <w:t xml:space="preserve"> and a decisive part of capturing the learning </w:t>
      </w:r>
      <w:r w:rsidR="003158F1">
        <w:t>which would enable</w:t>
      </w:r>
      <w:r w:rsidR="000B0DD0">
        <w:t xml:space="preserve"> ongoing evaluation</w:t>
      </w:r>
      <w:r w:rsidR="00734E6F">
        <w:t xml:space="preserve"> (i.e. to inform theory-based evaluation approaches)</w:t>
      </w:r>
      <w:r w:rsidR="002872EF">
        <w:t xml:space="preserve">. </w:t>
      </w:r>
      <w:r w:rsidR="006823D6">
        <w:t xml:space="preserve">In the </w:t>
      </w:r>
      <w:proofErr w:type="gramStart"/>
      <w:r w:rsidR="006823D6">
        <w:t>short term</w:t>
      </w:r>
      <w:proofErr w:type="gramEnd"/>
      <w:r w:rsidR="006823D6">
        <w:t xml:space="preserve"> </w:t>
      </w:r>
      <w:r w:rsidR="00695213">
        <w:t xml:space="preserve">having clarity on outcomes is expected to help with the collation of outcome evidence </w:t>
      </w:r>
      <w:r w:rsidR="002872EF">
        <w:t xml:space="preserve">– </w:t>
      </w:r>
      <w:r w:rsidR="000511EF">
        <w:t>and how to</w:t>
      </w:r>
      <w:r w:rsidR="002872EF">
        <w:t xml:space="preserve"> use theory of change for</w:t>
      </w:r>
      <w:r w:rsidR="00695213">
        <w:t xml:space="preserve"> testing </w:t>
      </w:r>
      <w:r w:rsidR="007E334D">
        <w:t xml:space="preserve">impact </w:t>
      </w:r>
      <w:r w:rsidR="001D271D">
        <w:t xml:space="preserve">generally </w:t>
      </w:r>
      <w:r w:rsidR="000511EF">
        <w:t>need</w:t>
      </w:r>
      <w:r w:rsidR="001D271D">
        <w:t>ed</w:t>
      </w:r>
      <w:r w:rsidR="000511EF">
        <w:t xml:space="preserve"> </w:t>
      </w:r>
      <w:r w:rsidR="00550D15">
        <w:t xml:space="preserve">further </w:t>
      </w:r>
      <w:r w:rsidR="00995732">
        <w:t>work</w:t>
      </w:r>
      <w:r w:rsidR="00695213">
        <w:t xml:space="preserve">. </w:t>
      </w:r>
    </w:p>
    <w:p w14:paraId="7C80F3F9" w14:textId="7077731E" w:rsidR="001F6A0F" w:rsidRPr="001F6A0F" w:rsidRDefault="001F6A0F" w:rsidP="001F6A0F">
      <w:pPr>
        <w:ind w:left="720"/>
        <w:rPr>
          <w:i/>
          <w:iCs/>
        </w:rPr>
      </w:pPr>
      <w:r w:rsidRPr="009B7E80">
        <w:rPr>
          <w:i/>
          <w:iCs/>
        </w:rPr>
        <w:t>I think saying it's a living document and it being a living document a</w:t>
      </w:r>
      <w:r>
        <w:rPr>
          <w:i/>
          <w:iCs/>
        </w:rPr>
        <w:t>re</w:t>
      </w:r>
      <w:r w:rsidRPr="009B7E80">
        <w:rPr>
          <w:i/>
          <w:iCs/>
        </w:rPr>
        <w:t xml:space="preserve"> not necessarily the same thing. </w:t>
      </w:r>
      <w:proofErr w:type="gramStart"/>
      <w:r w:rsidR="008A3C13">
        <w:rPr>
          <w:i/>
          <w:iCs/>
        </w:rPr>
        <w:t>A</w:t>
      </w:r>
      <w:r w:rsidRPr="009B7E80">
        <w:rPr>
          <w:i/>
          <w:iCs/>
        </w:rPr>
        <w:t>t the moment</w:t>
      </w:r>
      <w:proofErr w:type="gramEnd"/>
      <w:r w:rsidRPr="009B7E80">
        <w:rPr>
          <w:i/>
          <w:iCs/>
        </w:rPr>
        <w:t xml:space="preserve"> I think the primary purpose for us is to get our thoughts in one place about what we're doing. Why are we doing it? What do we hope to achieve? That's all informed how we measure the outcomes. We'll review the outcomes, then we'll report back. Then it kind of gets a little bit lost in the big decision about whether we want something for another year or whatever</w:t>
      </w:r>
      <w:r w:rsidR="00233994">
        <w:rPr>
          <w:i/>
          <w:iCs/>
        </w:rPr>
        <w:t>. T</w:t>
      </w:r>
      <w:r w:rsidRPr="009B7E80">
        <w:rPr>
          <w:i/>
          <w:iCs/>
        </w:rPr>
        <w:t xml:space="preserve">hat more granular and nuanced sort of learning from an intervention that's </w:t>
      </w:r>
      <w:proofErr w:type="gramStart"/>
      <w:r w:rsidRPr="009B7E80">
        <w:rPr>
          <w:i/>
          <w:iCs/>
        </w:rPr>
        <w:t>really beneficial</w:t>
      </w:r>
      <w:proofErr w:type="gramEnd"/>
      <w:r w:rsidRPr="009B7E80">
        <w:rPr>
          <w:i/>
          <w:iCs/>
        </w:rPr>
        <w:t xml:space="preserve"> is less formal and sometimes gets a little bit lost. </w:t>
      </w:r>
    </w:p>
    <w:p w14:paraId="5664972D" w14:textId="3BE24BC7" w:rsidR="000B0DD0" w:rsidRDefault="000B0DD0" w:rsidP="005B20D1">
      <w:r>
        <w:t>T</w:t>
      </w:r>
      <w:r w:rsidR="00E40D93">
        <w:t>he use of theory of change for theory</w:t>
      </w:r>
      <w:r w:rsidR="001D271D">
        <w:t xml:space="preserve">-based </w:t>
      </w:r>
      <w:r w:rsidR="00E40D93">
        <w:t>evaluation</w:t>
      </w:r>
      <w:r w:rsidR="00995732">
        <w:t>s</w:t>
      </w:r>
      <w:r w:rsidR="00E40D93">
        <w:t xml:space="preserve"> </w:t>
      </w:r>
      <w:r w:rsidR="00635649">
        <w:t>is starting to be d</w:t>
      </w:r>
      <w:r w:rsidR="00E40D93">
        <w:t>eveloped</w:t>
      </w:r>
      <w:r w:rsidR="00D216F5">
        <w:t xml:space="preserve"> for APP interventions. </w:t>
      </w:r>
      <w:r w:rsidR="00460199">
        <w:t xml:space="preserve">The quantity and quality of TOCs being developed seems impressive and this work has already developed some valuable </w:t>
      </w:r>
      <w:r w:rsidR="00384896">
        <w:t xml:space="preserve">new </w:t>
      </w:r>
      <w:r w:rsidR="00460199">
        <w:t xml:space="preserve">insights into </w:t>
      </w:r>
      <w:r w:rsidR="00000723">
        <w:t xml:space="preserve">the mechanisms underpinning </w:t>
      </w:r>
      <w:r w:rsidR="00193B76">
        <w:t xml:space="preserve">education outcomes, and the difference that </w:t>
      </w:r>
      <w:proofErr w:type="gramStart"/>
      <w:r w:rsidR="00193B76">
        <w:t>particular practices</w:t>
      </w:r>
      <w:proofErr w:type="gramEnd"/>
      <w:r w:rsidR="00193B76">
        <w:t xml:space="preserve"> can make. </w:t>
      </w:r>
      <w:r w:rsidR="00600667">
        <w:t xml:space="preserve">Going forward </w:t>
      </w:r>
      <w:r w:rsidR="001D2C13">
        <w:t>there</w:t>
      </w:r>
      <w:r w:rsidR="00193B76">
        <w:t xml:space="preserve"> needs to be </w:t>
      </w:r>
      <w:r w:rsidR="00E431E2">
        <w:t xml:space="preserve">further discussion of the </w:t>
      </w:r>
      <w:r w:rsidR="001D2C13">
        <w:t xml:space="preserve">implications for the </w:t>
      </w:r>
      <w:r w:rsidR="00E431E2">
        <w:t>evaluation approach</w:t>
      </w:r>
      <w:r w:rsidR="006454D2">
        <w:t xml:space="preserve"> – should </w:t>
      </w:r>
      <w:r w:rsidR="00E431E2">
        <w:t xml:space="preserve">evaluators </w:t>
      </w:r>
      <w:r w:rsidR="00D8061F">
        <w:t xml:space="preserve">take a ‘black box’ </w:t>
      </w:r>
      <w:r w:rsidR="007B19E0">
        <w:t xml:space="preserve">approach to assessing the outcomes and impact contained in </w:t>
      </w:r>
      <w:r w:rsidR="00D8061F">
        <w:t>the TOC</w:t>
      </w:r>
      <w:r w:rsidR="00E431E2">
        <w:t xml:space="preserve">; or </w:t>
      </w:r>
      <w:r w:rsidR="00836B8F">
        <w:t>sh</w:t>
      </w:r>
      <w:r w:rsidR="00E431E2">
        <w:t xml:space="preserve">ould </w:t>
      </w:r>
      <w:r w:rsidR="00836B8F">
        <w:t xml:space="preserve">they </w:t>
      </w:r>
      <w:r w:rsidR="00CE7467">
        <w:t>aim for more t</w:t>
      </w:r>
      <w:r w:rsidR="007B19E0">
        <w:t>heory-</w:t>
      </w:r>
      <w:r w:rsidR="00CE7467">
        <w:t xml:space="preserve">based evaluation </w:t>
      </w:r>
      <w:r w:rsidR="00836B8F">
        <w:t>methods which</w:t>
      </w:r>
      <w:r w:rsidR="00CE7467">
        <w:t xml:space="preserve"> hypothesise about the programme theory</w:t>
      </w:r>
      <w:r w:rsidR="00C303E8">
        <w:t xml:space="preserve"> </w:t>
      </w:r>
      <w:r w:rsidR="00CE7467">
        <w:t>as well the outcomes</w:t>
      </w:r>
      <w:r w:rsidR="009409D8">
        <w:t>?</w:t>
      </w:r>
      <w:r w:rsidR="00CE7467">
        <w:t xml:space="preserve"> </w:t>
      </w:r>
      <w:r w:rsidR="009409D8">
        <w:t>H</w:t>
      </w:r>
      <w:r w:rsidR="006C44A6">
        <w:t xml:space="preserve">ow to </w:t>
      </w:r>
      <w:r w:rsidR="009409D8">
        <w:t>use</w:t>
      </w:r>
      <w:r w:rsidR="006C44A6">
        <w:t xml:space="preserve"> TOCs in the planning-evaluation-planning </w:t>
      </w:r>
      <w:r w:rsidR="00F5515B">
        <w:t xml:space="preserve">cycle over time was </w:t>
      </w:r>
      <w:r w:rsidR="005B20D1">
        <w:t xml:space="preserve">an issue where key informants felt there could be more help/guidance. </w:t>
      </w:r>
    </w:p>
    <w:p w14:paraId="5005B232" w14:textId="7746F9D7" w:rsidR="007C2933" w:rsidRDefault="008A3C13" w:rsidP="007C2933">
      <w:pPr>
        <w:ind w:left="720"/>
        <w:rPr>
          <w:i/>
          <w:iCs/>
        </w:rPr>
      </w:pPr>
      <w:r w:rsidRPr="009B7E80">
        <w:rPr>
          <w:i/>
          <w:iCs/>
        </w:rPr>
        <w:lastRenderedPageBreak/>
        <w:t xml:space="preserve">Maybe there's a gap there in the guidance about </w:t>
      </w:r>
      <w:r w:rsidR="00914E37">
        <w:rPr>
          <w:i/>
          <w:iCs/>
        </w:rPr>
        <w:t xml:space="preserve">how </w:t>
      </w:r>
      <w:r w:rsidRPr="009B7E80">
        <w:rPr>
          <w:i/>
          <w:iCs/>
        </w:rPr>
        <w:t>practically you do that</w:t>
      </w:r>
      <w:r w:rsidR="00914E37">
        <w:rPr>
          <w:i/>
          <w:iCs/>
        </w:rPr>
        <w:t xml:space="preserve"> </w:t>
      </w:r>
      <w:r w:rsidR="00914E37" w:rsidRPr="00914E37">
        <w:t>[evaluate</w:t>
      </w:r>
      <w:r w:rsidR="00D1200C">
        <w:t xml:space="preserve"> the programme theory</w:t>
      </w:r>
      <w:r w:rsidR="00914E37" w:rsidRPr="00914E37">
        <w:t>]</w:t>
      </w:r>
      <w:r w:rsidRPr="00914E37">
        <w:t>.</w:t>
      </w:r>
      <w:r w:rsidRPr="009B7E80">
        <w:rPr>
          <w:i/>
          <w:iCs/>
        </w:rPr>
        <w:t xml:space="preserve"> </w:t>
      </w:r>
      <w:r>
        <w:rPr>
          <w:i/>
          <w:iCs/>
        </w:rPr>
        <w:t>M</w:t>
      </w:r>
      <w:r w:rsidRPr="009B7E80">
        <w:rPr>
          <w:i/>
          <w:iCs/>
        </w:rPr>
        <w:t xml:space="preserve">aybe a little bit more support with </w:t>
      </w:r>
      <w:r w:rsidR="00914E37">
        <w:rPr>
          <w:i/>
          <w:iCs/>
        </w:rPr>
        <w:t>‘</w:t>
      </w:r>
      <w:r w:rsidRPr="009B7E80">
        <w:rPr>
          <w:i/>
          <w:iCs/>
        </w:rPr>
        <w:t>how</w:t>
      </w:r>
      <w:r w:rsidR="00353BAE">
        <w:rPr>
          <w:i/>
          <w:iCs/>
        </w:rPr>
        <w:t>?</w:t>
      </w:r>
      <w:r w:rsidR="00914E37">
        <w:rPr>
          <w:i/>
          <w:iCs/>
        </w:rPr>
        <w:t>’</w:t>
      </w:r>
      <w:r w:rsidR="00D1200C">
        <w:rPr>
          <w:i/>
          <w:iCs/>
        </w:rPr>
        <w:t>. W</w:t>
      </w:r>
      <w:r w:rsidRPr="009B7E80">
        <w:rPr>
          <w:i/>
          <w:iCs/>
        </w:rPr>
        <w:t xml:space="preserve">hat that iterative </w:t>
      </w:r>
      <w:r w:rsidR="00D1200C">
        <w:rPr>
          <w:i/>
          <w:iCs/>
        </w:rPr>
        <w:t xml:space="preserve">evaluation </w:t>
      </w:r>
      <w:r w:rsidRPr="009B7E80">
        <w:rPr>
          <w:i/>
          <w:iCs/>
        </w:rPr>
        <w:t xml:space="preserve">cycle looks like in practise and how to ensure that theory of change </w:t>
      </w:r>
      <w:proofErr w:type="gramStart"/>
      <w:r w:rsidRPr="009B7E80">
        <w:rPr>
          <w:i/>
          <w:iCs/>
        </w:rPr>
        <w:t>are</w:t>
      </w:r>
      <w:proofErr w:type="gramEnd"/>
      <w:r w:rsidRPr="009B7E80">
        <w:rPr>
          <w:i/>
          <w:iCs/>
        </w:rPr>
        <w:t xml:space="preserve"> living document</w:t>
      </w:r>
      <w:r>
        <w:rPr>
          <w:i/>
          <w:iCs/>
        </w:rPr>
        <w:t>s</w:t>
      </w:r>
      <w:r w:rsidRPr="009B7E80">
        <w:rPr>
          <w:i/>
          <w:iCs/>
        </w:rPr>
        <w:t>.</w:t>
      </w:r>
    </w:p>
    <w:p w14:paraId="50582361" w14:textId="5CC4DB5B" w:rsidR="00570797" w:rsidRPr="00570797" w:rsidRDefault="00C620A3" w:rsidP="00570797">
      <w:r>
        <w:t xml:space="preserve">Case </w:t>
      </w:r>
      <w:r w:rsidR="0011552C">
        <w:t>providers</w:t>
      </w:r>
      <w:r>
        <w:t xml:space="preserve"> were putting efforts into </w:t>
      </w:r>
      <w:r w:rsidR="006E214C">
        <w:t>good practice developments in</w:t>
      </w:r>
      <w:r w:rsidR="003F11EA">
        <w:t xml:space="preserve"> </w:t>
      </w:r>
      <w:r w:rsidR="006E214C">
        <w:t>other areas</w:t>
      </w:r>
      <w:r w:rsidR="00B11F94">
        <w:t xml:space="preserve"> of practice </w:t>
      </w:r>
      <w:r w:rsidR="003F11EA">
        <w:t>– such as follow-up and tracking</w:t>
      </w:r>
      <w:r w:rsidR="00891944">
        <w:t xml:space="preserve">. A prominent example was ensuring to </w:t>
      </w:r>
      <w:r w:rsidR="00FE1F5E">
        <w:t>attach participa</w:t>
      </w:r>
      <w:r w:rsidR="00134B2E">
        <w:t>nt data</w:t>
      </w:r>
      <w:r w:rsidR="00B11F94">
        <w:t xml:space="preserve"> to engagement in interventions</w:t>
      </w:r>
      <w:r w:rsidR="00A33272">
        <w:t xml:space="preserve"> – i.e.</w:t>
      </w:r>
      <w:r w:rsidR="00B11F94">
        <w:t xml:space="preserve"> linking participation</w:t>
      </w:r>
      <w:r w:rsidR="00FE1F5E">
        <w:t xml:space="preserve"> to outcomes and to opportunities for</w:t>
      </w:r>
      <w:r w:rsidR="006E214C">
        <w:t xml:space="preserve"> </w:t>
      </w:r>
      <w:r w:rsidR="00DB5313">
        <w:t>tracking of participants</w:t>
      </w:r>
      <w:r w:rsidR="00FE1F5E">
        <w:t xml:space="preserve"> (e.g. via HEAT)</w:t>
      </w:r>
      <w:r w:rsidR="00562756">
        <w:t xml:space="preserve"> (recognising the benefit of having </w:t>
      </w:r>
      <w:r w:rsidR="00A33272">
        <w:t>participant tracking</w:t>
      </w:r>
      <w:r w:rsidR="002A5D94">
        <w:t xml:space="preserve"> as a</w:t>
      </w:r>
      <w:r w:rsidR="00A33272">
        <w:t xml:space="preserve"> potential </w:t>
      </w:r>
      <w:r w:rsidR="002A5D94">
        <w:t xml:space="preserve">means of </w:t>
      </w:r>
      <w:proofErr w:type="gramStart"/>
      <w:r w:rsidR="00A33272">
        <w:t>opening up</w:t>
      </w:r>
      <w:proofErr w:type="gramEnd"/>
      <w:r w:rsidR="00A33272">
        <w:t xml:space="preserve"> </w:t>
      </w:r>
      <w:r w:rsidR="002D6ADF">
        <w:t xml:space="preserve">opportunities for </w:t>
      </w:r>
      <w:r w:rsidR="00562756">
        <w:t xml:space="preserve">counterfactual evidence </w:t>
      </w:r>
      <w:r w:rsidR="002D6ADF">
        <w:t>and quasi-experimental designs)</w:t>
      </w:r>
      <w:r w:rsidR="00562756">
        <w:t xml:space="preserve">. </w:t>
      </w:r>
    </w:p>
    <w:p w14:paraId="6B45D098" w14:textId="5055F65E" w:rsidR="001C7762" w:rsidRPr="00B251CD" w:rsidRDefault="00A04060" w:rsidP="00EC1C68">
      <w:pPr>
        <w:pStyle w:val="Heading3"/>
      </w:pPr>
      <w:bookmarkStart w:id="38" w:name="_Toc205498244"/>
      <w:bookmarkStart w:id="39" w:name="_Toc205504258"/>
      <w:bookmarkStart w:id="40" w:name="_Toc204556351"/>
      <w:bookmarkStart w:id="41" w:name="_Toc204556562"/>
      <w:bookmarkStart w:id="42" w:name="_Toc205033885"/>
      <w:r>
        <w:t>2</w:t>
      </w:r>
      <w:r w:rsidR="006A3351">
        <w:t xml:space="preserve">.2.6 </w:t>
      </w:r>
      <w:r w:rsidR="001C7762" w:rsidRPr="00B251CD">
        <w:t>Supporting individuals</w:t>
      </w:r>
      <w:r w:rsidR="006C495C">
        <w:t>/</w:t>
      </w:r>
      <w:r w:rsidR="004C4262">
        <w:t xml:space="preserve">teams </w:t>
      </w:r>
      <w:r w:rsidR="00843215">
        <w:t xml:space="preserve">on </w:t>
      </w:r>
      <w:r w:rsidR="00A718E4">
        <w:t>evaluation</w:t>
      </w:r>
      <w:bookmarkEnd w:id="38"/>
      <w:bookmarkEnd w:id="39"/>
      <w:r w:rsidR="00A718E4">
        <w:t xml:space="preserve"> </w:t>
      </w:r>
      <w:bookmarkEnd w:id="40"/>
      <w:bookmarkEnd w:id="41"/>
      <w:bookmarkEnd w:id="42"/>
    </w:p>
    <w:p w14:paraId="6C40F96A" w14:textId="45D73F18" w:rsidR="00DD305E" w:rsidRDefault="00643D26" w:rsidP="001C7762">
      <w:r>
        <w:t>Several respondents comment</w:t>
      </w:r>
      <w:r w:rsidR="007848A7">
        <w:t>ed</w:t>
      </w:r>
      <w:r>
        <w:t xml:space="preserve"> that the standards had been a </w:t>
      </w:r>
      <w:r w:rsidR="00DD305E">
        <w:t xml:space="preserve">useful starting point </w:t>
      </w:r>
      <w:r>
        <w:t xml:space="preserve">when </w:t>
      </w:r>
      <w:r w:rsidR="00DD305E">
        <w:t xml:space="preserve">coming into </w:t>
      </w:r>
      <w:r>
        <w:t xml:space="preserve">an institutional </w:t>
      </w:r>
      <w:r w:rsidR="00DD305E">
        <w:t>evaluation role</w:t>
      </w:r>
      <w:r w:rsidR="00C714A1">
        <w:t xml:space="preserve"> (and perhaps </w:t>
      </w:r>
      <w:r w:rsidR="00DD305E">
        <w:t xml:space="preserve">especially </w:t>
      </w:r>
      <w:r w:rsidR="00C714A1">
        <w:t>for those</w:t>
      </w:r>
      <w:r w:rsidR="001573E7">
        <w:t xml:space="preserve"> coming from a practitioner route with limited prior evaluation expertise to draw on</w:t>
      </w:r>
      <w:r w:rsidR="00C714A1">
        <w:t>)</w:t>
      </w:r>
      <w:r w:rsidR="001573E7">
        <w:t xml:space="preserve">. </w:t>
      </w:r>
    </w:p>
    <w:p w14:paraId="13BB29CD" w14:textId="01F5A33D" w:rsidR="00695584" w:rsidRDefault="001C7762" w:rsidP="00415241">
      <w:pPr>
        <w:ind w:left="567"/>
        <w:rPr>
          <w:i/>
          <w:iCs/>
        </w:rPr>
      </w:pPr>
      <w:r w:rsidRPr="001573E7">
        <w:rPr>
          <w:i/>
          <w:iCs/>
        </w:rPr>
        <w:t xml:space="preserve">I think they are useful, personally. They were more useful when I was new to evaluation, but they came </w:t>
      </w:r>
      <w:proofErr w:type="gramStart"/>
      <w:r w:rsidRPr="001573E7">
        <w:rPr>
          <w:i/>
          <w:iCs/>
        </w:rPr>
        <w:t>at the same time that</w:t>
      </w:r>
      <w:proofErr w:type="gramEnd"/>
      <w:r w:rsidRPr="001573E7">
        <w:rPr>
          <w:i/>
          <w:iCs/>
        </w:rPr>
        <w:t xml:space="preserve"> I started, as an evaluator. They were very, very useful at that point. It's not something I really refer people to now, I think there's perhaps more recent guidance.</w:t>
      </w:r>
    </w:p>
    <w:p w14:paraId="7BEB9435" w14:textId="3DBF7203" w:rsidR="00616F4F" w:rsidRPr="00BE156C" w:rsidRDefault="00DA44FE" w:rsidP="00695584">
      <w:pPr>
        <w:ind w:left="567"/>
        <w:rPr>
          <w:i/>
          <w:iCs/>
        </w:rPr>
      </w:pPr>
      <w:r>
        <w:rPr>
          <w:i/>
          <w:iCs/>
        </w:rPr>
        <w:t>I d</w:t>
      </w:r>
      <w:r w:rsidR="00616F4F" w:rsidRPr="00BE156C">
        <w:rPr>
          <w:i/>
          <w:iCs/>
        </w:rPr>
        <w:t>o think standards of evidence are useful</w:t>
      </w:r>
      <w:r w:rsidR="004B7B61">
        <w:rPr>
          <w:i/>
          <w:iCs/>
        </w:rPr>
        <w:t>. T</w:t>
      </w:r>
      <w:r>
        <w:rPr>
          <w:i/>
          <w:iCs/>
        </w:rPr>
        <w:t xml:space="preserve">he </w:t>
      </w:r>
      <w:r w:rsidR="00616F4F" w:rsidRPr="00BE156C">
        <w:rPr>
          <w:i/>
          <w:iCs/>
        </w:rPr>
        <w:t xml:space="preserve">problem in </w:t>
      </w:r>
      <w:r>
        <w:rPr>
          <w:i/>
          <w:iCs/>
        </w:rPr>
        <w:t xml:space="preserve">an </w:t>
      </w:r>
      <w:r w:rsidR="00616F4F" w:rsidRPr="00BE156C">
        <w:rPr>
          <w:i/>
          <w:iCs/>
        </w:rPr>
        <w:t>institution like</w:t>
      </w:r>
      <w:r w:rsidR="00800993">
        <w:rPr>
          <w:i/>
          <w:iCs/>
        </w:rPr>
        <w:t xml:space="preserve"> ours</w:t>
      </w:r>
      <w:r w:rsidR="00616F4F" w:rsidRPr="00BE156C">
        <w:rPr>
          <w:i/>
          <w:iCs/>
        </w:rPr>
        <w:t xml:space="preserve"> </w:t>
      </w:r>
      <w:r w:rsidR="004B7B61">
        <w:rPr>
          <w:i/>
          <w:iCs/>
        </w:rPr>
        <w:t>is</w:t>
      </w:r>
      <w:r w:rsidR="00616F4F" w:rsidRPr="00BE156C">
        <w:rPr>
          <w:i/>
          <w:iCs/>
        </w:rPr>
        <w:t xml:space="preserve"> </w:t>
      </w:r>
      <w:r>
        <w:rPr>
          <w:i/>
          <w:iCs/>
        </w:rPr>
        <w:t xml:space="preserve">we </w:t>
      </w:r>
      <w:r w:rsidR="00616F4F" w:rsidRPr="00BE156C">
        <w:rPr>
          <w:i/>
          <w:iCs/>
        </w:rPr>
        <w:t>don’t have lots of people who just do research or can take time off to do it</w:t>
      </w:r>
      <w:r w:rsidR="008364FC">
        <w:rPr>
          <w:i/>
          <w:iCs/>
        </w:rPr>
        <w:t>. G</w:t>
      </w:r>
      <w:r w:rsidR="00616F4F" w:rsidRPr="00BE156C">
        <w:rPr>
          <w:i/>
          <w:iCs/>
        </w:rPr>
        <w:t>uidelines and frameworks</w:t>
      </w:r>
      <w:r w:rsidR="008364FC">
        <w:rPr>
          <w:i/>
          <w:iCs/>
        </w:rPr>
        <w:t xml:space="preserve"> are i</w:t>
      </w:r>
      <w:r w:rsidR="00616F4F" w:rsidRPr="00BE156C">
        <w:rPr>
          <w:i/>
          <w:iCs/>
        </w:rPr>
        <w:t>mportant to us</w:t>
      </w:r>
      <w:r w:rsidR="008364FC">
        <w:rPr>
          <w:i/>
          <w:iCs/>
        </w:rPr>
        <w:t>, o</w:t>
      </w:r>
      <w:r w:rsidR="00616F4F" w:rsidRPr="00BE156C">
        <w:rPr>
          <w:i/>
          <w:iCs/>
        </w:rPr>
        <w:t xml:space="preserve">therwise </w:t>
      </w:r>
      <w:r w:rsidR="008364FC">
        <w:rPr>
          <w:i/>
          <w:iCs/>
        </w:rPr>
        <w:t>we</w:t>
      </w:r>
      <w:r>
        <w:rPr>
          <w:i/>
          <w:iCs/>
        </w:rPr>
        <w:t xml:space="preserve">’ve </w:t>
      </w:r>
      <w:r w:rsidR="00616F4F" w:rsidRPr="00BE156C">
        <w:rPr>
          <w:i/>
          <w:iCs/>
        </w:rPr>
        <w:t>got to reinvent the wheel and start from scratch</w:t>
      </w:r>
      <w:r w:rsidR="00496AED">
        <w:rPr>
          <w:i/>
          <w:iCs/>
        </w:rPr>
        <w:t xml:space="preserve">. </w:t>
      </w:r>
    </w:p>
    <w:p w14:paraId="20790AAB" w14:textId="35015900" w:rsidR="000639BA" w:rsidRDefault="00984D2B" w:rsidP="000639BA">
      <w:r>
        <w:t xml:space="preserve">Colleagues in evaluation roles </w:t>
      </w:r>
      <w:r w:rsidR="00496AED">
        <w:t>were</w:t>
      </w:r>
      <w:r>
        <w:t xml:space="preserve"> supporting practitioners to build understanding and skills in evaluation. </w:t>
      </w:r>
      <w:r w:rsidR="007B62AF">
        <w:t xml:space="preserve">The standards </w:t>
      </w:r>
      <w:r w:rsidR="00BB7A53">
        <w:t xml:space="preserve">guidance could perhaps be more </w:t>
      </w:r>
      <w:r w:rsidR="007B62AF">
        <w:t>help</w:t>
      </w:r>
      <w:r w:rsidR="00BB7A53">
        <w:t>ing in</w:t>
      </w:r>
      <w:r w:rsidR="007B62AF">
        <w:t xml:space="preserve"> support</w:t>
      </w:r>
      <w:r w:rsidR="00BB7A53">
        <w:t>ing</w:t>
      </w:r>
      <w:r w:rsidR="007B62AF">
        <w:t xml:space="preserve"> development of expertise across teams</w:t>
      </w:r>
      <w:r w:rsidR="00C24AC7">
        <w:t xml:space="preserve">. </w:t>
      </w:r>
      <w:r w:rsidR="000639BA">
        <w:t xml:space="preserve">One respondent in a dedicated evaluation role commented:  </w:t>
      </w:r>
    </w:p>
    <w:p w14:paraId="5E9AF525" w14:textId="5E5D8DD3" w:rsidR="000639BA" w:rsidRDefault="000639BA" w:rsidP="008141EE">
      <w:pPr>
        <w:ind w:left="720"/>
        <w:rPr>
          <w:i/>
          <w:iCs/>
        </w:rPr>
      </w:pPr>
      <w:r w:rsidRPr="002820AE">
        <w:rPr>
          <w:i/>
          <w:iCs/>
        </w:rPr>
        <w:t>I've got the table of the standards of evidence. I've built a SharePoint page for evaluation which is available to all staff at the university, so I've got that initial kind of table, with the evaluation type</w:t>
      </w:r>
      <w:r w:rsidR="00C05E71">
        <w:rPr>
          <w:i/>
          <w:iCs/>
        </w:rPr>
        <w:t>s</w:t>
      </w:r>
      <w:r w:rsidRPr="002820AE">
        <w:rPr>
          <w:i/>
          <w:iCs/>
        </w:rPr>
        <w:t>. But I think that's something that we could build on more if the standards are updated and more relevant to the current context and expectations and that kind of thing.</w:t>
      </w:r>
    </w:p>
    <w:p w14:paraId="2E222862" w14:textId="4E0F728B" w:rsidR="00714104" w:rsidRDefault="00C24AC7" w:rsidP="008E44FA">
      <w:r>
        <w:t>A</w:t>
      </w:r>
      <w:r w:rsidR="00A51507">
        <w:t>nother key informant</w:t>
      </w:r>
      <w:r w:rsidR="00567908">
        <w:t xml:space="preserve"> said that communication of standards to practitioners was hampered by the existence of a hierarchical view of evaluation designs – because more robust designs did not reflect the way the institution was evaluating</w:t>
      </w:r>
      <w:r w:rsidR="0020561F">
        <w:t xml:space="preserve"> (discussed further below)</w:t>
      </w:r>
      <w:r w:rsidR="00567908">
        <w:t xml:space="preserve">; </w:t>
      </w:r>
      <w:proofErr w:type="gramStart"/>
      <w:r w:rsidR="00567908">
        <w:t>plus</w:t>
      </w:r>
      <w:proofErr w:type="gramEnd"/>
      <w:r w:rsidR="00567908">
        <w:t xml:space="preserve"> </w:t>
      </w:r>
      <w:r w:rsidR="00FE04E6">
        <w:t xml:space="preserve">in their current format </w:t>
      </w:r>
      <w:r w:rsidR="00567908">
        <w:t xml:space="preserve">the </w:t>
      </w:r>
      <w:r w:rsidR="004A6B86">
        <w:t xml:space="preserve">standards </w:t>
      </w:r>
      <w:r w:rsidR="00FE04E6">
        <w:t>we</w:t>
      </w:r>
      <w:r w:rsidR="00567908">
        <w:t xml:space="preserve">re not </w:t>
      </w:r>
      <w:r w:rsidR="004A6B86">
        <w:t xml:space="preserve">considered </w:t>
      </w:r>
      <w:r w:rsidR="00567908">
        <w:t xml:space="preserve">very user friendly or comprehensible to practitioners. </w:t>
      </w:r>
    </w:p>
    <w:p w14:paraId="23E40D06" w14:textId="3123A342" w:rsidR="00A82233" w:rsidRDefault="00A82233" w:rsidP="00A82233">
      <w:r>
        <w:t xml:space="preserve">The scale of the task of building evaluation culture and skills at the coalface of </w:t>
      </w:r>
      <w:r w:rsidR="00340F7B">
        <w:t>access and participation</w:t>
      </w:r>
      <w:r>
        <w:t xml:space="preserve"> delivery</w:t>
      </w:r>
      <w:r w:rsidR="00340F7B">
        <w:t xml:space="preserve"> was a common theme in the interviews</w:t>
      </w:r>
      <w:r>
        <w:t xml:space="preserve">. </w:t>
      </w:r>
    </w:p>
    <w:p w14:paraId="7ED465C2" w14:textId="206C7B7E" w:rsidR="00A82233" w:rsidRDefault="00A82233" w:rsidP="00A82233">
      <w:pPr>
        <w:ind w:left="576"/>
        <w:rPr>
          <w:i/>
          <w:iCs/>
        </w:rPr>
      </w:pPr>
      <w:r>
        <w:rPr>
          <w:i/>
          <w:iCs/>
        </w:rPr>
        <w:t>We’ve g</w:t>
      </w:r>
      <w:r w:rsidRPr="003E094A">
        <w:rPr>
          <w:i/>
          <w:iCs/>
        </w:rPr>
        <w:t xml:space="preserve">ot </w:t>
      </w:r>
      <w:r>
        <w:rPr>
          <w:i/>
          <w:iCs/>
        </w:rPr>
        <w:t xml:space="preserve">a </w:t>
      </w:r>
      <w:r w:rsidRPr="003E094A">
        <w:rPr>
          <w:i/>
          <w:iCs/>
        </w:rPr>
        <w:t xml:space="preserve">handle on own </w:t>
      </w:r>
      <w:r w:rsidR="008D08B0">
        <w:t xml:space="preserve">[widening participation] </w:t>
      </w:r>
      <w:r w:rsidRPr="003E094A">
        <w:rPr>
          <w:i/>
          <w:iCs/>
        </w:rPr>
        <w:t xml:space="preserve">activity as it fits in </w:t>
      </w:r>
      <w:r>
        <w:rPr>
          <w:i/>
          <w:iCs/>
        </w:rPr>
        <w:t xml:space="preserve">our </w:t>
      </w:r>
      <w:r w:rsidRPr="003E094A">
        <w:rPr>
          <w:i/>
          <w:iCs/>
        </w:rPr>
        <w:t xml:space="preserve">team. Making that institutional – </w:t>
      </w:r>
      <w:r>
        <w:rPr>
          <w:i/>
          <w:iCs/>
        </w:rPr>
        <w:t xml:space="preserve">the </w:t>
      </w:r>
      <w:r w:rsidRPr="003E094A">
        <w:rPr>
          <w:i/>
          <w:iCs/>
        </w:rPr>
        <w:t>learner progression framework and whole institutional stuff – that</w:t>
      </w:r>
      <w:r>
        <w:rPr>
          <w:i/>
          <w:iCs/>
        </w:rPr>
        <w:t>’s a</w:t>
      </w:r>
      <w:r w:rsidRPr="003E094A">
        <w:rPr>
          <w:i/>
          <w:iCs/>
        </w:rPr>
        <w:t xml:space="preserve"> step change </w:t>
      </w:r>
      <w:r>
        <w:rPr>
          <w:i/>
          <w:iCs/>
        </w:rPr>
        <w:t xml:space="preserve">we’re </w:t>
      </w:r>
      <w:r w:rsidRPr="003E094A">
        <w:rPr>
          <w:i/>
          <w:iCs/>
        </w:rPr>
        <w:t>keen to make</w:t>
      </w:r>
      <w:r>
        <w:rPr>
          <w:i/>
          <w:iCs/>
        </w:rPr>
        <w:t xml:space="preserve"> but we’re not going to </w:t>
      </w:r>
      <w:r w:rsidRPr="003E094A">
        <w:rPr>
          <w:i/>
          <w:iCs/>
        </w:rPr>
        <w:t xml:space="preserve">evaluate everything. </w:t>
      </w:r>
      <w:r>
        <w:rPr>
          <w:i/>
          <w:iCs/>
        </w:rPr>
        <w:t>That’s i</w:t>
      </w:r>
      <w:r w:rsidRPr="003E094A">
        <w:rPr>
          <w:i/>
          <w:iCs/>
        </w:rPr>
        <w:t xml:space="preserve">mpossible </w:t>
      </w:r>
      <w:r>
        <w:rPr>
          <w:i/>
          <w:iCs/>
        </w:rPr>
        <w:t xml:space="preserve">with </w:t>
      </w:r>
      <w:r w:rsidRPr="003E094A">
        <w:rPr>
          <w:i/>
          <w:iCs/>
        </w:rPr>
        <w:t>one person</w:t>
      </w:r>
      <w:r>
        <w:rPr>
          <w:i/>
          <w:iCs/>
        </w:rPr>
        <w:t xml:space="preserve">. The </w:t>
      </w:r>
      <w:r w:rsidRPr="003E094A">
        <w:rPr>
          <w:i/>
          <w:iCs/>
        </w:rPr>
        <w:t>expertise isn’t there</w:t>
      </w:r>
      <w:r>
        <w:rPr>
          <w:i/>
          <w:iCs/>
        </w:rPr>
        <w:t>, just s</w:t>
      </w:r>
      <w:r w:rsidRPr="003E094A">
        <w:rPr>
          <w:i/>
          <w:iCs/>
        </w:rPr>
        <w:t>ome pockets</w:t>
      </w:r>
      <w:r>
        <w:rPr>
          <w:i/>
          <w:iCs/>
        </w:rPr>
        <w:t xml:space="preserve">. </w:t>
      </w:r>
    </w:p>
    <w:p w14:paraId="6575119D" w14:textId="0B4D5648" w:rsidR="00BC349F" w:rsidRDefault="0043255F" w:rsidP="00BC349F">
      <w:r>
        <w:t>Having dedicated</w:t>
      </w:r>
      <w:r w:rsidR="00BC349F">
        <w:t xml:space="preserve"> evaluat</w:t>
      </w:r>
      <w:r>
        <w:t>ion posts is</w:t>
      </w:r>
      <w:r w:rsidR="00162650">
        <w:t xml:space="preserve"> helping APP colleagues to make judgements</w:t>
      </w:r>
      <w:r w:rsidR="00BC349F">
        <w:t xml:space="preserve"> about the utility and effectiveness of different evaluation designs in meeting evaluation purposes in different contexts. At the same time, the bulk of the evaluat</w:t>
      </w:r>
      <w:r w:rsidR="000B6BE4">
        <w:t>or</w:t>
      </w:r>
      <w:r w:rsidR="00BC349F">
        <w:t xml:space="preserve"> job description </w:t>
      </w:r>
      <w:r w:rsidR="00942186">
        <w:t>is</w:t>
      </w:r>
      <w:r w:rsidR="00BC349F">
        <w:t xml:space="preserve"> focused on supporting those at the delivery-interface to plan and undertake evaluation work, with only a minority of their time available for the business involved in </w:t>
      </w:r>
      <w:proofErr w:type="gramStart"/>
      <w:r w:rsidR="00BC349F">
        <w:t>actually undertaking</w:t>
      </w:r>
      <w:proofErr w:type="gramEnd"/>
      <w:r w:rsidR="00BC349F">
        <w:t xml:space="preserve"> evaluations. There were calls for guidance to support capability building at practitioner level</w:t>
      </w:r>
      <w:r w:rsidR="00896B11">
        <w:t xml:space="preserve">, especially </w:t>
      </w:r>
      <w:r w:rsidR="00896B11" w:rsidRPr="0011582A">
        <w:t>guidance to support decision making on applying the standards in practice</w:t>
      </w:r>
      <w:r w:rsidR="00896B11">
        <w:t xml:space="preserve">. </w:t>
      </w:r>
      <w:r w:rsidR="00BC349F">
        <w:t xml:space="preserve">A key informant in a lead evaluation role commented in relation to supporting practitioner to embed evaluation as part of their activities: </w:t>
      </w:r>
    </w:p>
    <w:p w14:paraId="57319537" w14:textId="303744C4" w:rsidR="00BC349F" w:rsidRDefault="00BC349F" w:rsidP="00BC349F">
      <w:pPr>
        <w:ind w:left="567"/>
        <w:rPr>
          <w:i/>
          <w:iCs/>
        </w:rPr>
      </w:pPr>
      <w:r w:rsidRPr="002516B1">
        <w:rPr>
          <w:i/>
          <w:iCs/>
        </w:rPr>
        <w:t xml:space="preserve">We need standards and frameworks, so long as they help in a practical way </w:t>
      </w:r>
      <w:r>
        <w:rPr>
          <w:i/>
          <w:iCs/>
        </w:rPr>
        <w:t>and</w:t>
      </w:r>
      <w:r w:rsidRPr="002516B1">
        <w:rPr>
          <w:i/>
          <w:iCs/>
        </w:rPr>
        <w:t xml:space="preserve"> not put </w:t>
      </w:r>
      <w:r>
        <w:rPr>
          <w:i/>
          <w:iCs/>
        </w:rPr>
        <w:t xml:space="preserve">people </w:t>
      </w:r>
      <w:r w:rsidRPr="002516B1">
        <w:rPr>
          <w:i/>
          <w:iCs/>
        </w:rPr>
        <w:t>of</w:t>
      </w:r>
      <w:r>
        <w:rPr>
          <w:i/>
          <w:iCs/>
        </w:rPr>
        <w:t>f</w:t>
      </w:r>
      <w:r w:rsidR="00D7449C">
        <w:rPr>
          <w:i/>
          <w:iCs/>
        </w:rPr>
        <w:t xml:space="preserve">. </w:t>
      </w:r>
    </w:p>
    <w:p w14:paraId="04768372" w14:textId="5A3AD0FB" w:rsidR="00B77C91" w:rsidRDefault="00C51384" w:rsidP="00B77C91">
      <w:r>
        <w:t xml:space="preserve">Guidance on </w:t>
      </w:r>
      <w:r w:rsidRPr="0011582A">
        <w:t>how to engage with different methods which support evaluation strengthening</w:t>
      </w:r>
      <w:r>
        <w:t xml:space="preserve"> and higher quality data and evidence would be particularly beneficial to evaluators and practitioners with limited prior evaluation expertise</w:t>
      </w:r>
      <w:r w:rsidRPr="0011582A">
        <w:t xml:space="preserve">. </w:t>
      </w:r>
      <w:r w:rsidR="00685F1A">
        <w:t xml:space="preserve">The sense emerged that </w:t>
      </w:r>
      <w:r w:rsidR="001D6265">
        <w:t xml:space="preserve">it’s important that </w:t>
      </w:r>
      <w:r w:rsidR="00685F1A">
        <w:t xml:space="preserve">practitioners </w:t>
      </w:r>
      <w:r w:rsidR="001D6265">
        <w:t>retain</w:t>
      </w:r>
      <w:r w:rsidR="00685F1A">
        <w:t xml:space="preserve"> skills and </w:t>
      </w:r>
      <w:r w:rsidR="001D6265">
        <w:t>expertise in evaluation</w:t>
      </w:r>
      <w:r>
        <w:t xml:space="preserve"> - </w:t>
      </w:r>
      <w:r w:rsidR="006F404D">
        <w:t>across</w:t>
      </w:r>
      <w:r w:rsidR="006E4AB3">
        <w:t xml:space="preserve"> all kinds of methods</w:t>
      </w:r>
      <w:r>
        <w:t xml:space="preserve"> - </w:t>
      </w:r>
      <w:r w:rsidR="006E4AB3">
        <w:t xml:space="preserve">and there was a danger that the ‘stronger’ types </w:t>
      </w:r>
      <w:r w:rsidR="00026F2D">
        <w:t>c</w:t>
      </w:r>
      <w:r w:rsidR="006E4AB3">
        <w:t xml:space="preserve">ould </w:t>
      </w:r>
      <w:r w:rsidR="00026F2D">
        <w:t xml:space="preserve">potentially </w:t>
      </w:r>
      <w:r w:rsidR="006E4AB3">
        <w:t xml:space="preserve">be seen as </w:t>
      </w:r>
      <w:r w:rsidR="005427AE">
        <w:t>more ‘academic’ and only in the remit of experts.</w:t>
      </w:r>
      <w:r w:rsidR="001D6265">
        <w:t xml:space="preserve"> </w:t>
      </w:r>
      <w:r w:rsidR="00B77C91">
        <w:t xml:space="preserve">A practitioner key information commented: </w:t>
      </w:r>
    </w:p>
    <w:p w14:paraId="524BB26F" w14:textId="07F03413" w:rsidR="00B77C91" w:rsidRDefault="00B23483" w:rsidP="00A36D66">
      <w:pPr>
        <w:ind w:left="567"/>
        <w:rPr>
          <w:i/>
          <w:iCs/>
        </w:rPr>
      </w:pPr>
      <w:r w:rsidRPr="00A36D66">
        <w:rPr>
          <w:i/>
          <w:iCs/>
        </w:rPr>
        <w:lastRenderedPageBreak/>
        <w:t xml:space="preserve">We need more </w:t>
      </w:r>
      <w:r w:rsidR="00A9373D" w:rsidRPr="00A36D66">
        <w:rPr>
          <w:i/>
          <w:iCs/>
        </w:rPr>
        <w:t>in the way of being able to see how different types of evaluation may be practically delivered</w:t>
      </w:r>
      <w:r w:rsidR="00A36D66" w:rsidRPr="00A36D66">
        <w:rPr>
          <w:i/>
          <w:iCs/>
        </w:rPr>
        <w:t xml:space="preserve">. </w:t>
      </w:r>
    </w:p>
    <w:p w14:paraId="502040A4" w14:textId="41FBF64B" w:rsidR="00984A32" w:rsidRDefault="00984A32" w:rsidP="00823E9A">
      <w:r>
        <w:t>Standard</w:t>
      </w:r>
      <w:r w:rsidR="00BE7340">
        <w:t>i</w:t>
      </w:r>
      <w:r>
        <w:t>s</w:t>
      </w:r>
      <w:r w:rsidR="00BE7340">
        <w:t>ed</w:t>
      </w:r>
      <w:r>
        <w:t xml:space="preserve"> tools </w:t>
      </w:r>
      <w:r w:rsidR="00BE7340">
        <w:t xml:space="preserve">including validated questionnaires </w:t>
      </w:r>
      <w:r>
        <w:t>which support evaluation</w:t>
      </w:r>
      <w:r w:rsidR="00BE7340">
        <w:t xml:space="preserve"> of student outcomes</w:t>
      </w:r>
      <w:r>
        <w:t xml:space="preserve"> </w:t>
      </w:r>
      <w:proofErr w:type="gramStart"/>
      <w:r>
        <w:t>are considered to be</w:t>
      </w:r>
      <w:proofErr w:type="gramEnd"/>
      <w:r>
        <w:t xml:space="preserve"> desirable </w:t>
      </w:r>
      <w:r w:rsidR="00D33F4B">
        <w:t xml:space="preserve">not only to prevent evaluators having to ‘reinvent the wheel’ but because they help to build confidence </w:t>
      </w:r>
      <w:r w:rsidR="00F969E8">
        <w:t>in ev</w:t>
      </w:r>
      <w:r w:rsidR="00BE7340">
        <w:t xml:space="preserve">aluation </w:t>
      </w:r>
      <w:r w:rsidR="009478E6">
        <w:t xml:space="preserve">amongst practitioners delivering interventions and can promote deeper reflection of the conceptualisation of different types of </w:t>
      </w:r>
      <w:r w:rsidR="009B5925">
        <w:t xml:space="preserve">psycho-social outcomes and the mechanisms underpinning achievement of these. </w:t>
      </w:r>
    </w:p>
    <w:p w14:paraId="307768A8" w14:textId="0646C1F6" w:rsidR="00C54850" w:rsidRPr="009478E6" w:rsidRDefault="00C54850" w:rsidP="00823E9A">
      <w:r>
        <w:t xml:space="preserve">Sector level tools and methods which bring stronger types of evidence into the hands of practitioners were welcomed (for example, the HEAT comparator tool and progression to higher education reports). Sector resources which </w:t>
      </w:r>
      <w:r w:rsidRPr="005B74D5">
        <w:t xml:space="preserve">give concrete methodological guidance </w:t>
      </w:r>
      <w:r>
        <w:t>and</w:t>
      </w:r>
      <w:r w:rsidRPr="005B74D5">
        <w:t xml:space="preserve"> examples</w:t>
      </w:r>
      <w:r>
        <w:t xml:space="preserve"> were also well received (e.g. </w:t>
      </w:r>
      <w:r w:rsidRPr="000174C1">
        <w:t xml:space="preserve">the </w:t>
      </w:r>
      <w:r>
        <w:t>‘</w:t>
      </w:r>
      <w:proofErr w:type="gramStart"/>
      <w:r w:rsidRPr="000174C1">
        <w:t>small-n</w:t>
      </w:r>
      <w:proofErr w:type="gramEnd"/>
      <w:r>
        <w:t>’</w:t>
      </w:r>
      <w:r w:rsidRPr="000174C1">
        <w:t xml:space="preserve"> guidance </w:t>
      </w:r>
      <w:r>
        <w:t xml:space="preserve">developed </w:t>
      </w:r>
      <w:r w:rsidRPr="000174C1">
        <w:t>by TASO</w:t>
      </w:r>
      <w:r>
        <w:rPr>
          <w:rStyle w:val="FootnoteReference"/>
        </w:rPr>
        <w:footnoteReference w:id="10"/>
      </w:r>
      <w:r>
        <w:t xml:space="preserve">).   </w:t>
      </w:r>
    </w:p>
    <w:p w14:paraId="35739CAD" w14:textId="10FA039C" w:rsidR="00562126" w:rsidRDefault="00A04060" w:rsidP="00EC1C68">
      <w:pPr>
        <w:pStyle w:val="Heading3"/>
      </w:pPr>
      <w:bookmarkStart w:id="43" w:name="_Toc204556352"/>
      <w:bookmarkStart w:id="44" w:name="_Toc204556563"/>
      <w:bookmarkStart w:id="45" w:name="_Toc205033886"/>
      <w:bookmarkStart w:id="46" w:name="_Toc205498245"/>
      <w:bookmarkStart w:id="47" w:name="_Toc205504259"/>
      <w:r>
        <w:t>2</w:t>
      </w:r>
      <w:r w:rsidR="001F3299">
        <w:t xml:space="preserve">.2.7 </w:t>
      </w:r>
      <w:r w:rsidR="00562126">
        <w:t>External communication</w:t>
      </w:r>
      <w:bookmarkEnd w:id="43"/>
      <w:bookmarkEnd w:id="44"/>
      <w:bookmarkEnd w:id="45"/>
      <w:bookmarkEnd w:id="46"/>
      <w:bookmarkEnd w:id="47"/>
    </w:p>
    <w:p w14:paraId="0CE0FC75" w14:textId="77777777" w:rsidR="00F547C4" w:rsidRDefault="004419BC" w:rsidP="00B96A1E">
      <w:r>
        <w:t>Key informants</w:t>
      </w:r>
      <w:r w:rsidR="00CB39F2">
        <w:t xml:space="preserve"> said the standards </w:t>
      </w:r>
      <w:r w:rsidR="008477F0">
        <w:t>we</w:t>
      </w:r>
      <w:r w:rsidR="00CB39F2">
        <w:t xml:space="preserve">re </w:t>
      </w:r>
      <w:r w:rsidR="00DC3015">
        <w:t>use</w:t>
      </w:r>
      <w:r w:rsidR="00BB1323">
        <w:t>ful</w:t>
      </w:r>
      <w:r w:rsidR="00DC3015">
        <w:t xml:space="preserve"> in </w:t>
      </w:r>
      <w:r w:rsidR="00CB39F2">
        <w:t>communicat</w:t>
      </w:r>
      <w:r w:rsidR="00DC3015">
        <w:t>ion</w:t>
      </w:r>
      <w:r w:rsidR="00CB39F2">
        <w:t xml:space="preserve"> externally to the </w:t>
      </w:r>
      <w:proofErr w:type="spellStart"/>
      <w:r w:rsidR="00CB39F2">
        <w:t>OfS</w:t>
      </w:r>
      <w:proofErr w:type="spellEnd"/>
      <w:r w:rsidR="00CB39F2">
        <w:t xml:space="preserve"> and sector colleagues about </w:t>
      </w:r>
      <w:r w:rsidR="00AA19CE">
        <w:t xml:space="preserve">the </w:t>
      </w:r>
      <w:r w:rsidR="003464EE">
        <w:t xml:space="preserve">evaluation plans and the </w:t>
      </w:r>
      <w:r w:rsidR="009A07F8">
        <w:t>types of ev</w:t>
      </w:r>
      <w:r w:rsidR="002910EB">
        <w:t xml:space="preserve">idence being collected. </w:t>
      </w:r>
      <w:r w:rsidR="00FA18CD">
        <w:t>The c</w:t>
      </w:r>
      <w:r w:rsidR="00B96A1E">
        <w:t xml:space="preserve">omments </w:t>
      </w:r>
      <w:r w:rsidR="00FA18CD">
        <w:t xml:space="preserve">suggest that </w:t>
      </w:r>
      <w:r w:rsidR="001869C3">
        <w:t xml:space="preserve">the standards are welcomes because there is a </w:t>
      </w:r>
      <w:r w:rsidR="00B96A1E">
        <w:t xml:space="preserve">reassurance benefit from having a framework </w:t>
      </w:r>
      <w:r w:rsidR="001869C3">
        <w:t>to</w:t>
      </w:r>
      <w:r w:rsidR="00B96A1E">
        <w:t xml:space="preserve"> categoris</w:t>
      </w:r>
      <w:r w:rsidR="001869C3">
        <w:t>e</w:t>
      </w:r>
      <w:r w:rsidR="00B96A1E">
        <w:t xml:space="preserve"> the expectations for outcome/impact evaluations which can be justified within the organisational context. </w:t>
      </w:r>
    </w:p>
    <w:p w14:paraId="48605E1A" w14:textId="2E41D28C" w:rsidR="00B96A1E" w:rsidRPr="00C064D9" w:rsidRDefault="00F547C4" w:rsidP="00B96A1E">
      <w:r>
        <w:t xml:space="preserve">For sector discussions and sharing the standards underpinned conversations about evaluation methods for Type 2/3 evaluations. </w:t>
      </w:r>
      <w:r w:rsidR="003F74CC">
        <w:t>However, w</w:t>
      </w:r>
      <w:r w:rsidR="00B96A1E">
        <w:t xml:space="preserve">hen it comes to </w:t>
      </w:r>
      <w:r w:rsidR="00091F92">
        <w:t xml:space="preserve">delivering Type 3 evidence </w:t>
      </w:r>
      <w:r w:rsidR="00B96A1E">
        <w:t xml:space="preserve">some key informants were conscious of the methodological and practical difficulties and would only be looking to do this in exceptional cases. </w:t>
      </w:r>
    </w:p>
    <w:p w14:paraId="3406F71E" w14:textId="77777777" w:rsidR="00B96A1E" w:rsidRDefault="00B96A1E" w:rsidP="00B96A1E">
      <w:pPr>
        <w:ind w:left="576"/>
        <w:rPr>
          <w:i/>
          <w:iCs/>
        </w:rPr>
      </w:pPr>
      <w:r w:rsidRPr="00B123B3">
        <w:rPr>
          <w:i/>
          <w:iCs/>
        </w:rPr>
        <w:t xml:space="preserve">I’d say we’re comfortably into the middle zone, right now. Type 3 is not realistic so we’re staying </w:t>
      </w:r>
      <w:r>
        <w:rPr>
          <w:i/>
          <w:iCs/>
        </w:rPr>
        <w:t xml:space="preserve">at </w:t>
      </w:r>
      <w:r w:rsidRPr="00B123B3">
        <w:rPr>
          <w:i/>
          <w:iCs/>
        </w:rPr>
        <w:t xml:space="preserve">Type 2 for </w:t>
      </w:r>
      <w:r>
        <w:rPr>
          <w:i/>
          <w:iCs/>
        </w:rPr>
        <w:t>now. For the time being w</w:t>
      </w:r>
      <w:r w:rsidRPr="00B123B3">
        <w:rPr>
          <w:i/>
          <w:iCs/>
        </w:rPr>
        <w:t xml:space="preserve">e lack capacity in data and evaluation. </w:t>
      </w:r>
    </w:p>
    <w:p w14:paraId="0A43146A" w14:textId="77777777" w:rsidR="00B96A1E" w:rsidRPr="00C44142" w:rsidRDefault="00B96A1E" w:rsidP="00B96A1E">
      <w:pPr>
        <w:ind w:left="576"/>
        <w:rPr>
          <w:i/>
          <w:iCs/>
        </w:rPr>
      </w:pPr>
      <w:r w:rsidRPr="008F0E23">
        <w:rPr>
          <w:i/>
          <w:iCs/>
        </w:rPr>
        <w:t>We sit in the correlation space to see what works really without the need to push for Type 3</w:t>
      </w:r>
      <w:r>
        <w:rPr>
          <w:i/>
          <w:iCs/>
        </w:rPr>
        <w:t xml:space="preserve">. </w:t>
      </w:r>
    </w:p>
    <w:p w14:paraId="205D687E" w14:textId="342A12DF" w:rsidR="003E4AFE" w:rsidRDefault="009D6F86" w:rsidP="003E4AFE">
      <w:r>
        <w:t>H</w:t>
      </w:r>
      <w:r w:rsidR="009A07F8">
        <w:t xml:space="preserve">aving to set the </w:t>
      </w:r>
      <w:r w:rsidR="00CB39F2">
        <w:t xml:space="preserve">expectations for </w:t>
      </w:r>
      <w:r w:rsidR="009A07F8">
        <w:t>impact</w:t>
      </w:r>
      <w:r w:rsidR="00CB39F2">
        <w:t xml:space="preserve"> </w:t>
      </w:r>
      <w:r w:rsidR="009A07F8">
        <w:t xml:space="preserve">evidence generation </w:t>
      </w:r>
      <w:r w:rsidR="00B47E74">
        <w:t xml:space="preserve">across each strand of activity in the APPs was not </w:t>
      </w:r>
      <w:r w:rsidR="00846973">
        <w:t xml:space="preserve">a requirement that was </w:t>
      </w:r>
      <w:r w:rsidR="00B34D8E">
        <w:t xml:space="preserve">especially </w:t>
      </w:r>
      <w:r w:rsidR="00846973">
        <w:t>welcomed</w:t>
      </w:r>
      <w:r w:rsidR="00766BEF">
        <w:t>. There w</w:t>
      </w:r>
      <w:r w:rsidR="00846973">
        <w:t xml:space="preserve">ere various </w:t>
      </w:r>
      <w:r w:rsidR="00695930">
        <w:t>tensions</w:t>
      </w:r>
      <w:r w:rsidR="002664A9">
        <w:t xml:space="preserve"> including </w:t>
      </w:r>
      <w:r w:rsidR="00CD5B39">
        <w:t>pressure t</w:t>
      </w:r>
      <w:r w:rsidR="00FC3F8B">
        <w:t>o com</w:t>
      </w:r>
      <w:r w:rsidR="00CD5B39">
        <w:t xml:space="preserve">mit to certain types </w:t>
      </w:r>
      <w:r w:rsidR="00B34D8E">
        <w:t xml:space="preserve">of evidence </w:t>
      </w:r>
      <w:r>
        <w:t xml:space="preserve">in advance </w:t>
      </w:r>
      <w:r w:rsidR="00CD5B39">
        <w:t>(</w:t>
      </w:r>
      <w:r w:rsidR="00B34D8E">
        <w:t xml:space="preserve">i.e. at least </w:t>
      </w:r>
      <w:r w:rsidR="003464EE">
        <w:t xml:space="preserve">Type </w:t>
      </w:r>
      <w:r w:rsidR="00CD5B39">
        <w:t>2)</w:t>
      </w:r>
      <w:r w:rsidR="003262C1">
        <w:t xml:space="preserve"> before the </w:t>
      </w:r>
      <w:r w:rsidR="006C03DD">
        <w:t>requirements for different types of evaluation (e.g. access to data</w:t>
      </w:r>
      <w:r w:rsidR="00E3303F">
        <w:t>) were fully understood.</w:t>
      </w:r>
      <w:r>
        <w:t xml:space="preserve"> </w:t>
      </w:r>
      <w:r w:rsidR="007821B1">
        <w:t xml:space="preserve">Key informants said the </w:t>
      </w:r>
      <w:r w:rsidR="00A03A17">
        <w:t>type of evaluation need</w:t>
      </w:r>
      <w:r w:rsidR="005202F3">
        <w:t>s</w:t>
      </w:r>
      <w:r w:rsidR="00A03A17">
        <w:t xml:space="preserve"> to be linked to the specific </w:t>
      </w:r>
      <w:r w:rsidR="005202F3">
        <w:t xml:space="preserve">type of outcomes and </w:t>
      </w:r>
      <w:r w:rsidR="00A03A17">
        <w:t>question</w:t>
      </w:r>
      <w:r w:rsidR="005202F3">
        <w:t>s for the evaluation</w:t>
      </w:r>
      <w:r w:rsidR="00A03A17">
        <w:t xml:space="preserve"> in each case; that the type of evaluation evidence could change over time; that the </w:t>
      </w:r>
      <w:r w:rsidR="004E464A">
        <w:t xml:space="preserve">evidence </w:t>
      </w:r>
      <w:r w:rsidR="003C0614">
        <w:t xml:space="preserve">once collected </w:t>
      </w:r>
      <w:r w:rsidR="004E464A">
        <w:t>might not meet the standard agreed despite the best inte</w:t>
      </w:r>
      <w:r w:rsidR="00BF1F1F">
        <w:t>n</w:t>
      </w:r>
      <w:r w:rsidR="004E464A">
        <w:t>tions (e.g. an inconclusive result on an RCT)</w:t>
      </w:r>
      <w:r w:rsidR="006856B5">
        <w:t xml:space="preserve">; </w:t>
      </w:r>
      <w:r w:rsidR="003C0614">
        <w:t xml:space="preserve">and </w:t>
      </w:r>
      <w:r w:rsidR="006856B5">
        <w:t xml:space="preserve">that the data sources that underpinned the approach might not be </w:t>
      </w:r>
      <w:r w:rsidR="003C0614">
        <w:t xml:space="preserve">fully </w:t>
      </w:r>
      <w:r w:rsidR="006856B5">
        <w:t>guaranteed (e.g. schools data or access to student records data)</w:t>
      </w:r>
      <w:r w:rsidR="00052B3D">
        <w:t xml:space="preserve">. Another potential issue is that </w:t>
      </w:r>
      <w:r w:rsidR="00B87FED">
        <w:t xml:space="preserve">qualitative outcomes </w:t>
      </w:r>
      <w:r w:rsidR="00052B3D">
        <w:t xml:space="preserve">and impacts </w:t>
      </w:r>
      <w:r w:rsidR="00B87FED">
        <w:t xml:space="preserve">might be harder to quantify in a way </w:t>
      </w:r>
      <w:r w:rsidR="00052B3D">
        <w:t>that would enable a useful counterfactual to be built to meet the criteria for a Type 2 evaluation</w:t>
      </w:r>
      <w:r w:rsidR="00F241D1">
        <w:t xml:space="preserve">. </w:t>
      </w:r>
      <w:proofErr w:type="gramStart"/>
      <w:r w:rsidR="00F241D1">
        <w:t>Plus</w:t>
      </w:r>
      <w:proofErr w:type="gramEnd"/>
      <w:r w:rsidR="00F241D1">
        <w:t xml:space="preserve"> the </w:t>
      </w:r>
      <w:proofErr w:type="gramStart"/>
      <w:r w:rsidR="00702E67">
        <w:t>longer term</w:t>
      </w:r>
      <w:proofErr w:type="gramEnd"/>
      <w:r w:rsidR="00702E67">
        <w:t xml:space="preserve"> qua</w:t>
      </w:r>
      <w:r w:rsidR="00F241D1">
        <w:t>n</w:t>
      </w:r>
      <w:r w:rsidR="00702E67">
        <w:t xml:space="preserve">titative outcomes might not </w:t>
      </w:r>
      <w:r w:rsidR="00F241D1">
        <w:t>be identifiable in the data due to data issues and confounding factors</w:t>
      </w:r>
      <w:r w:rsidR="004E464A">
        <w:t xml:space="preserve">. </w:t>
      </w:r>
      <w:r w:rsidR="001526D7">
        <w:t xml:space="preserve">These issues are playing </w:t>
      </w:r>
      <w:r w:rsidR="006856B5">
        <w:t>into</w:t>
      </w:r>
      <w:r w:rsidR="00BF1F1F">
        <w:t xml:space="preserve"> some </w:t>
      </w:r>
      <w:r w:rsidR="004A25DD">
        <w:t xml:space="preserve">sense of </w:t>
      </w:r>
      <w:r w:rsidR="00BF1F1F">
        <w:t>uneas</w:t>
      </w:r>
      <w:r w:rsidR="004A25DD">
        <w:t xml:space="preserve">iness because </w:t>
      </w:r>
      <w:r w:rsidR="00D808C9">
        <w:t xml:space="preserve">the APPs have not </w:t>
      </w:r>
      <w:r w:rsidR="005159D5">
        <w:t>started</w:t>
      </w:r>
      <w:r w:rsidR="00D808C9">
        <w:t xml:space="preserve"> yet</w:t>
      </w:r>
      <w:r w:rsidR="005159D5">
        <w:t xml:space="preserve">. However, </w:t>
      </w:r>
      <w:r w:rsidR="00BD0188">
        <w:t>there was very much a feeling that best endeavours were being made to achieve the most methodol</w:t>
      </w:r>
      <w:r w:rsidR="000C1F2F">
        <w:t>o</w:t>
      </w:r>
      <w:r w:rsidR="00BD0188">
        <w:t>g</w:t>
      </w:r>
      <w:r w:rsidR="000C1F2F">
        <w:t>i</w:t>
      </w:r>
      <w:r w:rsidR="00BD0188">
        <w:t>cally sound evaluation</w:t>
      </w:r>
      <w:r w:rsidR="000C1F2F">
        <w:t xml:space="preserve"> </w:t>
      </w:r>
      <w:r w:rsidR="005159D5">
        <w:t>as possible in context</w:t>
      </w:r>
      <w:r w:rsidR="00BD0188">
        <w:t xml:space="preserve">. </w:t>
      </w:r>
    </w:p>
    <w:p w14:paraId="6305A4BE" w14:textId="77777777" w:rsidR="00AB1B20" w:rsidRDefault="00AB1B20" w:rsidP="00AE610F">
      <w:pPr>
        <w:pStyle w:val="Heading2"/>
      </w:pPr>
      <w:bookmarkStart w:id="48" w:name="_Toc205504260"/>
      <w:r>
        <w:t>Use of the standards of evaluation self-assessment tool</w:t>
      </w:r>
      <w:bookmarkEnd w:id="48"/>
    </w:p>
    <w:p w14:paraId="6A8E02E2" w14:textId="4A8A2BC2" w:rsidR="00AB1B20" w:rsidRDefault="00AB1B20" w:rsidP="00AB1B20">
      <w:r>
        <w:t>Th</w:t>
      </w:r>
      <w:r w:rsidR="00D47F6C">
        <w:t>e evaluation self-assessment</w:t>
      </w:r>
      <w:r>
        <w:t xml:space="preserve"> tool allows providers to self-assess on the application of standards of evidence within the context of the systems and structures in place internally for evaluation (strategy, planning implementation and learning). </w:t>
      </w:r>
    </w:p>
    <w:p w14:paraId="208E90D0" w14:textId="77777777" w:rsidR="00465B31" w:rsidRDefault="00AB1B20" w:rsidP="00AB1B20">
      <w:r>
        <w:t xml:space="preserve">Overall, colleagues seemed to be in favour of having a tool to help them reflect and review the context for evaluations and evidence generation: </w:t>
      </w:r>
    </w:p>
    <w:p w14:paraId="0D8F0A79" w14:textId="4AE52E95" w:rsidR="00F06C96" w:rsidRPr="007C3E9D" w:rsidRDefault="00465B31" w:rsidP="007C3E9D">
      <w:pPr>
        <w:ind w:left="567"/>
        <w:rPr>
          <w:i/>
          <w:iCs/>
        </w:rPr>
      </w:pPr>
      <w:r w:rsidRPr="00F06C96">
        <w:rPr>
          <w:i/>
          <w:iCs/>
        </w:rPr>
        <w:t>T</w:t>
      </w:r>
      <w:r w:rsidR="00AB1B20" w:rsidRPr="00F06C96">
        <w:rPr>
          <w:i/>
          <w:iCs/>
        </w:rPr>
        <w:t xml:space="preserve">he self-assessment surfaced where </w:t>
      </w:r>
      <w:r w:rsidR="00F004E0">
        <w:rPr>
          <w:i/>
          <w:iCs/>
        </w:rPr>
        <w:t xml:space="preserve">our </w:t>
      </w:r>
      <w:r w:rsidR="00AB1B20" w:rsidRPr="00F06C96">
        <w:rPr>
          <w:i/>
          <w:iCs/>
        </w:rPr>
        <w:t>gaps are.</w:t>
      </w:r>
      <w:r w:rsidR="00F004E0">
        <w:rPr>
          <w:i/>
          <w:iCs/>
        </w:rPr>
        <w:t xml:space="preserve"> </w:t>
      </w:r>
      <w:r w:rsidR="00AB1B20" w:rsidRPr="00F06C96">
        <w:rPr>
          <w:i/>
          <w:iCs/>
        </w:rPr>
        <w:t>Ultimately</w:t>
      </w:r>
      <w:r w:rsidR="00F004E0">
        <w:rPr>
          <w:i/>
          <w:iCs/>
        </w:rPr>
        <w:t>,</w:t>
      </w:r>
      <w:r w:rsidR="00AB1B20" w:rsidRPr="00F06C96">
        <w:rPr>
          <w:i/>
          <w:iCs/>
        </w:rPr>
        <w:t xml:space="preserve"> there are strengths/weaknesses and we thought about this</w:t>
      </w:r>
      <w:r w:rsidR="00653E77">
        <w:rPr>
          <w:i/>
          <w:iCs/>
        </w:rPr>
        <w:t xml:space="preserve">: </w:t>
      </w:r>
      <w:r w:rsidR="00AB1B20" w:rsidRPr="00F06C96">
        <w:rPr>
          <w:i/>
          <w:iCs/>
        </w:rPr>
        <w:t>that helped us reflect on what we’re designing and gives consistency in how we look at standards.</w:t>
      </w:r>
      <w:r w:rsidR="00AB1B20">
        <w:t xml:space="preserve"> </w:t>
      </w:r>
    </w:p>
    <w:p w14:paraId="65118D96" w14:textId="110BD24A" w:rsidR="00AB1B20" w:rsidRDefault="00AB1B20" w:rsidP="00AB1B20">
      <w:r>
        <w:lastRenderedPageBreak/>
        <w:t xml:space="preserve">In one case institution, working towards improvement in the self-assessment score had been made a stated aim and part of the strategy for evaluation capacity/capability development internally. There had been leverage for additional dedicated evaluation staff roles as a result here. In another case a new evaluation staff role had been created following a review of evaluation capability which had referenced the standards. </w:t>
      </w:r>
    </w:p>
    <w:p w14:paraId="7F146422" w14:textId="57482B32" w:rsidR="00AC63B5" w:rsidRDefault="002D556A" w:rsidP="00AB1B20">
      <w:r>
        <w:t>Overall, t</w:t>
      </w:r>
      <w:r w:rsidR="00AD02E8">
        <w:t xml:space="preserve">here was mixed use amongst the cases of the </w:t>
      </w:r>
      <w:proofErr w:type="spellStart"/>
      <w:r w:rsidR="00AD02E8">
        <w:t>OfS</w:t>
      </w:r>
      <w:proofErr w:type="spellEnd"/>
      <w:r w:rsidR="00AD02E8">
        <w:t xml:space="preserve"> standards of evidence self-assessment tool. </w:t>
      </w:r>
      <w:r w:rsidR="00AB1B20">
        <w:t xml:space="preserve">In a couple of cases the tool had been applied in previous planning rounds but was not currently used. One person commented: </w:t>
      </w:r>
    </w:p>
    <w:p w14:paraId="6D71AC80" w14:textId="0D7FE8D8" w:rsidR="00AB1B20" w:rsidRPr="00465B31" w:rsidRDefault="00AB1B20" w:rsidP="00465B31">
      <w:pPr>
        <w:ind w:left="567"/>
        <w:rPr>
          <w:i/>
          <w:iCs/>
        </w:rPr>
      </w:pPr>
      <w:r w:rsidRPr="00465B31">
        <w:rPr>
          <w:i/>
          <w:iCs/>
        </w:rPr>
        <w:t xml:space="preserve">We haven't revisited that recently. But </w:t>
      </w:r>
      <w:proofErr w:type="gramStart"/>
      <w:r w:rsidRPr="00465B31">
        <w:rPr>
          <w:i/>
          <w:iCs/>
        </w:rPr>
        <w:t>I definitely, definitely</w:t>
      </w:r>
      <w:proofErr w:type="gramEnd"/>
      <w:r w:rsidRPr="00465B31">
        <w:rPr>
          <w:i/>
          <w:iCs/>
        </w:rPr>
        <w:t xml:space="preserve"> think they are useful. It's quite a big document, isn't it? Or a reasonable sort of wordy document. It's not the first thing I signpost people to, but I think it is </w:t>
      </w:r>
      <w:proofErr w:type="gramStart"/>
      <w:r w:rsidRPr="00465B31">
        <w:rPr>
          <w:i/>
          <w:iCs/>
        </w:rPr>
        <w:t>really useful</w:t>
      </w:r>
      <w:proofErr w:type="gramEnd"/>
      <w:r w:rsidRPr="00465B31">
        <w:rPr>
          <w:i/>
          <w:iCs/>
        </w:rPr>
        <w:t xml:space="preserve">. Yeah, perhaps something that we could review again. </w:t>
      </w:r>
    </w:p>
    <w:p w14:paraId="62B6CCED" w14:textId="23856831" w:rsidR="001244B8" w:rsidRDefault="000111EF" w:rsidP="00AB4665">
      <w:pPr>
        <w:pStyle w:val="Heading1"/>
      </w:pPr>
      <w:bookmarkStart w:id="49" w:name="_Toc205504261"/>
      <w:r>
        <w:t>THE TYPES/LEVELS DISCOURSE</w:t>
      </w:r>
      <w:bookmarkEnd w:id="49"/>
    </w:p>
    <w:p w14:paraId="50846C65" w14:textId="66811511" w:rsidR="007B4EBE" w:rsidRPr="007B4EBE" w:rsidRDefault="007B4EBE" w:rsidP="007B4EBE">
      <w:r>
        <w:t xml:space="preserve">The issue of </w:t>
      </w:r>
      <w:proofErr w:type="gramStart"/>
      <w:r>
        <w:t>whether or not</w:t>
      </w:r>
      <w:proofErr w:type="gramEnd"/>
      <w:r>
        <w:t xml:space="preserve"> it is appropriate to view the types of evidence as hierarchical has been a key aspect of the standards discourse. </w:t>
      </w:r>
      <w:r w:rsidR="00835D85">
        <w:t xml:space="preserve">This Section discusses perspectives emerging from the research with case </w:t>
      </w:r>
      <w:r w:rsidR="0011552C">
        <w:t>provider</w:t>
      </w:r>
      <w:r w:rsidR="00835D85">
        <w:t xml:space="preserve">s and </w:t>
      </w:r>
      <w:r w:rsidR="00852810">
        <w:t xml:space="preserve">the implications for the standards. </w:t>
      </w:r>
    </w:p>
    <w:tbl>
      <w:tblPr>
        <w:tblStyle w:val="TableGrid"/>
        <w:tblW w:w="9776" w:type="dxa"/>
        <w:tblLook w:val="04A0" w:firstRow="1" w:lastRow="0" w:firstColumn="1" w:lastColumn="0" w:noHBand="0" w:noVBand="1"/>
      </w:tblPr>
      <w:tblGrid>
        <w:gridCol w:w="9776"/>
      </w:tblGrid>
      <w:tr w:rsidR="001244B8" w14:paraId="70560E8A" w14:textId="77777777" w:rsidTr="00AB4665">
        <w:tc>
          <w:tcPr>
            <w:tcW w:w="9776" w:type="dxa"/>
          </w:tcPr>
          <w:p w14:paraId="55E344A4" w14:textId="77777777" w:rsidR="001244B8" w:rsidRPr="00DB2643" w:rsidRDefault="001244B8" w:rsidP="00EA015F">
            <w:pPr>
              <w:rPr>
                <w:i/>
                <w:iCs/>
              </w:rPr>
            </w:pPr>
            <w:r w:rsidRPr="00DB2643">
              <w:rPr>
                <w:i/>
                <w:iCs/>
              </w:rPr>
              <w:t>Key Findings</w:t>
            </w:r>
          </w:p>
          <w:p w14:paraId="77D63573" w14:textId="633824CA" w:rsidR="00D415FA" w:rsidRDefault="001244B8" w:rsidP="007C3E9D">
            <w:pPr>
              <w:pStyle w:val="Box"/>
            </w:pPr>
            <w:r>
              <w:t xml:space="preserve">There has been an ongoing tension </w:t>
            </w:r>
            <w:r w:rsidR="000E4858">
              <w:t xml:space="preserve">regarding </w:t>
            </w:r>
            <w:r>
              <w:t>whether a hierarchy of methods is implied</w:t>
            </w:r>
            <w:r w:rsidR="00766FD3">
              <w:t xml:space="preserve"> in the standards</w:t>
            </w:r>
            <w:r>
              <w:t>: notably whether R</w:t>
            </w:r>
            <w:r w:rsidR="00FB1CC5">
              <w:t xml:space="preserve">andomised </w:t>
            </w:r>
            <w:r>
              <w:t>C</w:t>
            </w:r>
            <w:r w:rsidR="00FB1CC5">
              <w:t xml:space="preserve">ontrol </w:t>
            </w:r>
            <w:r>
              <w:t>T</w:t>
            </w:r>
            <w:r w:rsidR="00FB1CC5">
              <w:t>rial</w:t>
            </w:r>
            <w:r>
              <w:t>s</w:t>
            </w:r>
            <w:r w:rsidR="00FB1CC5">
              <w:t xml:space="preserve"> (</w:t>
            </w:r>
            <w:r>
              <w:t>RCTs</w:t>
            </w:r>
            <w:r w:rsidR="00C57E7D">
              <w:t>)</w:t>
            </w:r>
            <w:r>
              <w:t xml:space="preserve"> should be considered a ‘gold standard’ for WP evaluations. Experimental methods are clearly a strong design when it comes to proving </w:t>
            </w:r>
            <w:proofErr w:type="gramStart"/>
            <w:r>
              <w:t>causality</w:t>
            </w:r>
            <w:proofErr w:type="gramEnd"/>
            <w:r>
              <w:t xml:space="preserve"> but all types of evidence provide very valuable </w:t>
            </w:r>
            <w:r w:rsidR="0052332D">
              <w:t>knowledge to inform</w:t>
            </w:r>
            <w:r>
              <w:t xml:space="preserve"> decision making on APP interventions in practice and there are a range of ways to increase the usefulness and validity of the results of all types of evidence</w:t>
            </w:r>
            <w:r w:rsidR="003F4AAA">
              <w:t xml:space="preserve"> to support decisions</w:t>
            </w:r>
            <w:r w:rsidR="00CF0BBA">
              <w:t>, as part of a proportionate approach</w:t>
            </w:r>
            <w:r>
              <w:t xml:space="preserve">. </w:t>
            </w:r>
          </w:p>
          <w:p w14:paraId="74A700B7" w14:textId="22694DC5" w:rsidR="00D415FA" w:rsidRDefault="00D415FA" w:rsidP="007C3E9D">
            <w:pPr>
              <w:pStyle w:val="Box"/>
            </w:pPr>
            <w:r w:rsidRPr="00D415FA">
              <w:t xml:space="preserve">Using the evidence standards encourages providers to move to increasingly robust approaches to using evidence, </w:t>
            </w:r>
            <w:r w:rsidR="00CF0BBA">
              <w:t>but</w:t>
            </w:r>
            <w:r w:rsidRPr="00D415FA">
              <w:t xml:space="preserve"> the strength of evidence required for different types of decisions is a consideration. Impact evaluation complements other types of evaluation in evidence-based decision making and is used in a formative and summative sense as part of ongoing cycles of reflection and review. </w:t>
            </w:r>
          </w:p>
          <w:p w14:paraId="7D7B0E06" w14:textId="2E909E1B" w:rsidR="00772C8D" w:rsidRDefault="00772C8D" w:rsidP="007C3E9D">
            <w:pPr>
              <w:pStyle w:val="Box"/>
            </w:pPr>
            <w:r w:rsidRPr="00772C8D">
              <w:t xml:space="preserve">Evidence that is layered over time to build </w:t>
            </w:r>
            <w:r w:rsidR="00921EE2">
              <w:t>new</w:t>
            </w:r>
            <w:r w:rsidRPr="00772C8D">
              <w:t xml:space="preserve"> knowledge and move to successive levels of surety within each cycle is desirable an</w:t>
            </w:r>
            <w:r w:rsidR="004A4187">
              <w:t>d an</w:t>
            </w:r>
            <w:r w:rsidRPr="00772C8D">
              <w:t xml:space="preserve"> opportunity to progress to stronger forms of evidence as the work continues and the amount of investment of APP resource grows. There is a tension in the current standards in the best way to move to stronger causal surety. The most expensive interventions warrant the strongest type of evidence, but these tend to be more complex and beyond the scope of RCTs which are perhaps best applied to discrete activities </w:t>
            </w:r>
            <w:r w:rsidR="00CA1CFF">
              <w:t>with</w:t>
            </w:r>
            <w:r w:rsidRPr="00772C8D">
              <w:t xml:space="preserve"> </w:t>
            </w:r>
            <w:r w:rsidR="00B46B4B">
              <w:t>direct</w:t>
            </w:r>
            <w:r w:rsidRPr="00772C8D">
              <w:t xml:space="preserve"> </w:t>
            </w:r>
            <w:r w:rsidR="00300DB4">
              <w:t>outcomes</w:t>
            </w:r>
            <w:r w:rsidRPr="00772C8D">
              <w:t>.</w:t>
            </w:r>
          </w:p>
          <w:p w14:paraId="63DA0F02" w14:textId="20DB4C17" w:rsidR="005F464A" w:rsidRDefault="005F464A" w:rsidP="007C3E9D">
            <w:pPr>
              <w:pStyle w:val="Box"/>
            </w:pPr>
            <w:r w:rsidRPr="001E1CF9">
              <w:t xml:space="preserve">Providers are looking to quasi-experimental approaches, especially where these are supported by developments in data possibilities (e.g. tracking systems and student records systems). </w:t>
            </w:r>
            <w:proofErr w:type="gramStart"/>
            <w:r w:rsidRPr="001E1CF9">
              <w:t>Plus</w:t>
            </w:r>
            <w:proofErr w:type="gramEnd"/>
            <w:r w:rsidRPr="001E1CF9">
              <w:t xml:space="preserve"> there is an interest in using theory-</w:t>
            </w:r>
            <w:r w:rsidR="003B13BE">
              <w:t>based</w:t>
            </w:r>
            <w:r w:rsidRPr="001E1CF9">
              <w:t xml:space="preserve"> evaluation and case-orientated methodologies.</w:t>
            </w:r>
          </w:p>
          <w:p w14:paraId="22BE0F1A" w14:textId="20CB056E" w:rsidR="001244B8" w:rsidRDefault="001244B8" w:rsidP="007C3E9D">
            <w:pPr>
              <w:pStyle w:val="Box"/>
            </w:pPr>
            <w:r>
              <w:t>It may not benefit continued efforts to improve the data and evidence base for identifying an impact if the strongest types of approaches are conceptualised in a purely experimental sense, without consideration of alternative interpretations, because experimentation in the strictest sense is seen as risky and only relevant for access and participation work in some exceptional cases.</w:t>
            </w:r>
          </w:p>
        </w:tc>
      </w:tr>
    </w:tbl>
    <w:p w14:paraId="5AAEE838" w14:textId="3C44AB57" w:rsidR="00852810" w:rsidRDefault="00D45AFE" w:rsidP="00AE610F">
      <w:pPr>
        <w:pStyle w:val="Heading2"/>
      </w:pPr>
      <w:bookmarkStart w:id="50" w:name="_Toc205504262"/>
      <w:r>
        <w:t>Perspectives on the evidence types</w:t>
      </w:r>
      <w:bookmarkEnd w:id="50"/>
    </w:p>
    <w:p w14:paraId="24E59F6C" w14:textId="1A877C0E" w:rsidR="001244B8" w:rsidRDefault="001244B8" w:rsidP="001244B8">
      <w:r>
        <w:t xml:space="preserve">The research suggests that whilst understanding of the strength of impact evidence and the claims that can be made as part of WP evaluations has likely increased </w:t>
      </w:r>
      <w:proofErr w:type="gramStart"/>
      <w:r>
        <w:t>as a result of</w:t>
      </w:r>
      <w:proofErr w:type="gramEnd"/>
      <w:r>
        <w:t xml:space="preserve"> the standards, there has been an ongoing tension in terms of whether RCTs should be considered a ‘gold standard’ for WP evaluations. It is perhaps fair to say that most of those involved in the research had engaged with the standards without </w:t>
      </w:r>
      <w:r w:rsidRPr="00BF26E2">
        <w:t>necessarily</w:t>
      </w:r>
      <w:r>
        <w:t xml:space="preserve"> agreeing that a Type 3 </w:t>
      </w:r>
      <w:r w:rsidR="00CF69B3">
        <w:t>experimental design</w:t>
      </w:r>
      <w:r>
        <w:t xml:space="preserve"> should be an end goal for evaluation strengthening when it comes to deciding what evaluation would be applied on the ground in different intervention contexts. </w:t>
      </w:r>
    </w:p>
    <w:p w14:paraId="4602B89D" w14:textId="696C676F" w:rsidR="00867C9E" w:rsidRDefault="00867C9E" w:rsidP="00867C9E">
      <w:r>
        <w:t xml:space="preserve">The potential for confusion on whether the types of evidence imply a hierarchy does not appear to have been helped by some perceived mixed messaging. Interviews with key informants suggested that there was a perception </w:t>
      </w:r>
      <w:r w:rsidR="00B16F8D">
        <w:t>of</w:t>
      </w:r>
      <w:r>
        <w:t xml:space="preserve"> policy emphasis favouring experimental designs (identified for example in the way evidence is assessed as part of meta-reviews and in terms of funding allocations to different types of collaborative studies). </w:t>
      </w:r>
    </w:p>
    <w:p w14:paraId="71714875" w14:textId="77777777" w:rsidR="00867C9E" w:rsidRDefault="00867C9E" w:rsidP="00867C9E">
      <w:pPr>
        <w:ind w:left="567"/>
        <w:rPr>
          <w:i/>
          <w:iCs/>
        </w:rPr>
      </w:pPr>
      <w:r w:rsidRPr="001755B8">
        <w:rPr>
          <w:i/>
          <w:iCs/>
        </w:rPr>
        <w:lastRenderedPageBreak/>
        <w:t>I think that kind of idea of what works network and how other evaluations have been implemented across that network kind of takes us down a bit of a path and it</w:t>
      </w:r>
      <w:r>
        <w:rPr>
          <w:i/>
          <w:iCs/>
        </w:rPr>
        <w:t xml:space="preserve"> </w:t>
      </w:r>
      <w:r w:rsidRPr="001755B8">
        <w:rPr>
          <w:i/>
          <w:iCs/>
        </w:rPr>
        <w:t xml:space="preserve">can feel sometimes quite a bit like tunnel vision. </w:t>
      </w:r>
    </w:p>
    <w:p w14:paraId="6794796A" w14:textId="487E3D6D" w:rsidR="00867C9E" w:rsidRDefault="00867C9E" w:rsidP="00867C9E">
      <w:pPr>
        <w:ind w:left="567"/>
        <w:rPr>
          <w:i/>
          <w:iCs/>
        </w:rPr>
      </w:pPr>
      <w:r w:rsidRPr="001C37CB">
        <w:rPr>
          <w:i/>
          <w:iCs/>
        </w:rPr>
        <w:t xml:space="preserve">I certainly think that people felt like we should all be </w:t>
      </w:r>
      <w:r>
        <w:rPr>
          <w:i/>
          <w:iCs/>
        </w:rPr>
        <w:t xml:space="preserve">doing Type 3, </w:t>
      </w:r>
      <w:r w:rsidRPr="001C37CB">
        <w:rPr>
          <w:i/>
          <w:iCs/>
        </w:rPr>
        <w:t xml:space="preserve">the </w:t>
      </w:r>
      <w:r w:rsidR="0069628E">
        <w:rPr>
          <w:i/>
          <w:iCs/>
        </w:rPr>
        <w:t>‘</w:t>
      </w:r>
      <w:r w:rsidRPr="001C37CB">
        <w:rPr>
          <w:i/>
          <w:iCs/>
        </w:rPr>
        <w:t>gold standard</w:t>
      </w:r>
      <w:r w:rsidR="0069628E">
        <w:rPr>
          <w:i/>
          <w:iCs/>
        </w:rPr>
        <w:t>’</w:t>
      </w:r>
      <w:r w:rsidRPr="001C37CB">
        <w:rPr>
          <w:i/>
          <w:iCs/>
        </w:rPr>
        <w:t xml:space="preserve"> RCT. I'm very careful with that institutionally, when I talk about different types of evaluation, what sort </w:t>
      </w:r>
      <w:r>
        <w:rPr>
          <w:i/>
          <w:iCs/>
        </w:rPr>
        <w:t>is</w:t>
      </w:r>
      <w:r w:rsidRPr="001C37CB">
        <w:rPr>
          <w:i/>
          <w:iCs/>
        </w:rPr>
        <w:t xml:space="preserve"> appropriate</w:t>
      </w:r>
      <w:r>
        <w:rPr>
          <w:i/>
          <w:iCs/>
        </w:rPr>
        <w:t>,</w:t>
      </w:r>
      <w:r w:rsidRPr="001C37CB">
        <w:rPr>
          <w:i/>
          <w:iCs/>
        </w:rPr>
        <w:t xml:space="preserve"> what's feasible and all that sort of stuff. I think if you boil it down to </w:t>
      </w:r>
      <w:r>
        <w:rPr>
          <w:i/>
          <w:iCs/>
        </w:rPr>
        <w:t>T</w:t>
      </w:r>
      <w:r w:rsidRPr="001C37CB">
        <w:rPr>
          <w:i/>
          <w:iCs/>
        </w:rPr>
        <w:t xml:space="preserve">ype 1, </w:t>
      </w:r>
      <w:r>
        <w:rPr>
          <w:i/>
          <w:iCs/>
        </w:rPr>
        <w:t>T</w:t>
      </w:r>
      <w:r w:rsidRPr="001C37CB">
        <w:rPr>
          <w:i/>
          <w:iCs/>
        </w:rPr>
        <w:t xml:space="preserve">ype 2, </w:t>
      </w:r>
      <w:r>
        <w:rPr>
          <w:i/>
          <w:iCs/>
        </w:rPr>
        <w:t>T</w:t>
      </w:r>
      <w:r w:rsidRPr="001C37CB">
        <w:rPr>
          <w:i/>
          <w:iCs/>
        </w:rPr>
        <w:t>ype 3, that can build on that kind of institutional idea that one certain type is what we should all be aiming for and it's that gold standard or the best.</w:t>
      </w:r>
    </w:p>
    <w:p w14:paraId="1821AE2E" w14:textId="77777777" w:rsidR="001244B8" w:rsidRDefault="001244B8" w:rsidP="001244B8">
      <w:r>
        <w:t xml:space="preserve">A key problem with taking a hierarchical approach was that it reduces the scope for creativity and flexibility on the type of evaluation that could be achieved. </w:t>
      </w:r>
    </w:p>
    <w:p w14:paraId="4C0FE840" w14:textId="194DCF7F" w:rsidR="00B5107C" w:rsidRDefault="00B5107C" w:rsidP="00B5107C">
      <w:pPr>
        <w:ind w:left="567"/>
      </w:pPr>
      <w:r w:rsidRPr="008F0E23">
        <w:rPr>
          <w:i/>
          <w:iCs/>
        </w:rPr>
        <w:t>The standards give us a lot internally to say and commonality of language. If they over do that emphasis on Type 3 it becomes restrictive and problematic.</w:t>
      </w:r>
    </w:p>
    <w:p w14:paraId="7D75C46A" w14:textId="7C43AE30" w:rsidR="001244B8" w:rsidRDefault="001244B8" w:rsidP="00B5107C">
      <w:pPr>
        <w:ind w:left="567"/>
        <w:rPr>
          <w:i/>
          <w:iCs/>
        </w:rPr>
      </w:pPr>
      <w:r w:rsidRPr="00FF0712">
        <w:rPr>
          <w:i/>
          <w:iCs/>
        </w:rPr>
        <w:t xml:space="preserve">I guess maybe one of the reasons why we perhaps don't </w:t>
      </w:r>
      <w:proofErr w:type="gramStart"/>
      <w:r w:rsidRPr="00FF0712">
        <w:rPr>
          <w:i/>
          <w:iCs/>
        </w:rPr>
        <w:t>refer back</w:t>
      </w:r>
      <w:proofErr w:type="gramEnd"/>
      <w:r w:rsidRPr="00FF0712">
        <w:rPr>
          <w:i/>
          <w:iCs/>
        </w:rPr>
        <w:t xml:space="preserve"> very much as a document now is because it's kind of a common language, it's kind of like a living part of evaluation within access and participation and there's a general shared understanding as well as the different types and what </w:t>
      </w:r>
      <w:r>
        <w:rPr>
          <w:i/>
          <w:iCs/>
        </w:rPr>
        <w:t xml:space="preserve">sort of </w:t>
      </w:r>
      <w:r w:rsidRPr="00FF0712">
        <w:rPr>
          <w:i/>
          <w:iCs/>
        </w:rPr>
        <w:t xml:space="preserve">claims you can make. But we do have to very carefully balance that with </w:t>
      </w:r>
      <w:r w:rsidR="00726BB4">
        <w:rPr>
          <w:i/>
          <w:iCs/>
        </w:rPr>
        <w:t>the</w:t>
      </w:r>
      <w:r w:rsidRPr="00FF0712">
        <w:rPr>
          <w:i/>
          <w:iCs/>
        </w:rPr>
        <w:t xml:space="preserve"> idea of hierarchy and </w:t>
      </w:r>
      <w:proofErr w:type="gramStart"/>
      <w:r w:rsidRPr="00FF0712">
        <w:rPr>
          <w:i/>
          <w:iCs/>
        </w:rPr>
        <w:t>value based</w:t>
      </w:r>
      <w:proofErr w:type="gramEnd"/>
      <w:r w:rsidRPr="00FF0712">
        <w:rPr>
          <w:i/>
          <w:iCs/>
        </w:rPr>
        <w:t xml:space="preserve"> judgments on what is better or what is the right type of evaluation.</w:t>
      </w:r>
    </w:p>
    <w:p w14:paraId="323E59C2" w14:textId="57A795F8" w:rsidR="00EF2901" w:rsidRDefault="00EF2901" w:rsidP="00C0770C">
      <w:r>
        <w:t xml:space="preserve">Different types of evidence are useful to support different types of decisions, and there is a link to the stage of development of an intervention, summarised in Figure </w:t>
      </w:r>
      <w:r w:rsidR="00AB4665">
        <w:t>3</w:t>
      </w:r>
      <w:r w:rsidR="00A04060">
        <w:t>.</w:t>
      </w:r>
      <w:r w:rsidR="00AB4665">
        <w:t>1</w:t>
      </w:r>
      <w:r w:rsidR="00C0770C">
        <w:t xml:space="preserve">. </w:t>
      </w:r>
      <w:r>
        <w:t xml:space="preserve">The evidence needs are likely to change over the lifetime of a project or programme as more/less formative and summative evaluations </w:t>
      </w:r>
      <w:proofErr w:type="gramStart"/>
      <w:r>
        <w:t>becomes</w:t>
      </w:r>
      <w:proofErr w:type="gramEnd"/>
      <w:r>
        <w:t xml:space="preserve"> useful/possible. This is especially in terms of intensive, sustained and progressive interventions (Type 1 evaluation might </w:t>
      </w:r>
      <w:r w:rsidR="00FD28C6">
        <w:t xml:space="preserve">continue to </w:t>
      </w:r>
      <w:r>
        <w:t>be fine for ‘light touch’ interventions which expend minimal resource</w:t>
      </w:r>
      <w:r w:rsidR="008C6EF3">
        <w:t xml:space="preserve"> and</w:t>
      </w:r>
      <w:r w:rsidR="003B6F81">
        <w:t>/or where</w:t>
      </w:r>
      <w:r w:rsidR="008C6EF3">
        <w:t xml:space="preserve"> </w:t>
      </w:r>
      <w:r w:rsidR="00733AA5">
        <w:t>the relationship with outcomes is indirect</w:t>
      </w:r>
      <w:r>
        <w:t>).</w:t>
      </w:r>
    </w:p>
    <w:p w14:paraId="012003B7" w14:textId="2BDE0787" w:rsidR="00AB4665" w:rsidRDefault="00AB4665" w:rsidP="00C0770C">
      <w:r>
        <w:t xml:space="preserve">The standards of evidence can help </w:t>
      </w:r>
      <w:r w:rsidRPr="0096337C">
        <w:t xml:space="preserve">with </w:t>
      </w:r>
      <w:r>
        <w:t>decision-making</w:t>
      </w:r>
      <w:r w:rsidRPr="0096337C">
        <w:t xml:space="preserve"> by</w:t>
      </w:r>
      <w:r>
        <w:t xml:space="preserve"> relating different types of evidence to different types of decisions: recognising that more important decisions (</w:t>
      </w:r>
      <w:r w:rsidRPr="00DB06E3">
        <w:t xml:space="preserve">e.g. to commit a lot of resources to or completely change what is being done) will need more reliable evidence of impact. </w:t>
      </w:r>
      <w:r>
        <w:t xml:space="preserve">Type 1 evidence might be used to stop an intervention since they’d be no point in continuing if the initial data on outcomes suggested only poor outcomes were being achieved. If the intervention was proving itself by getting good results over time it might be that other types of causal evidence would be needed to </w:t>
      </w:r>
      <w:proofErr w:type="gramStart"/>
      <w:r>
        <w:t>make a decision</w:t>
      </w:r>
      <w:proofErr w:type="gramEnd"/>
      <w:r>
        <w:t xml:space="preserve"> whether to continue one intervention over another. There might need to be more surety that it was the intervention that caused the impact if the institution was recommending to roll-out a pilot, or to recommend the practice to other providers. However, types of evidence below complete causality might be considered sufficient if the method was considered rigorous enough: e.g. the counterfactual evidence from </w:t>
      </w:r>
      <w:r w:rsidRPr="0096337C">
        <w:t xml:space="preserve">the </w:t>
      </w:r>
      <w:r>
        <w:t xml:space="preserve">evaluation </w:t>
      </w:r>
      <w:r w:rsidRPr="0096337C">
        <w:t>wa</w:t>
      </w:r>
      <w:r>
        <w:t xml:space="preserve">s supported by other forms of reliable evidence of success, and/or there was convincing evidence that the programme theory worked. </w:t>
      </w:r>
    </w:p>
    <w:p w14:paraId="1D062B70" w14:textId="60414090" w:rsidR="00EF2901" w:rsidRDefault="00EF2901" w:rsidP="00AB4665">
      <w:pPr>
        <w:keepNext/>
      </w:pPr>
      <w:r>
        <w:t xml:space="preserve">Figure </w:t>
      </w:r>
      <w:r w:rsidR="00AB4665">
        <w:t>3</w:t>
      </w:r>
      <w:r w:rsidR="00A04060">
        <w:t>.</w:t>
      </w:r>
      <w:r w:rsidR="00AB4665">
        <w:t>1</w:t>
      </w:r>
      <w:r>
        <w:t xml:space="preserve">: Evidence to support different </w:t>
      </w:r>
      <w:r w:rsidR="00E80D07">
        <w:t xml:space="preserve">kinds of </w:t>
      </w:r>
      <w:r>
        <w:t>decisions</w:t>
      </w:r>
    </w:p>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5"/>
        <w:gridCol w:w="1871"/>
        <w:gridCol w:w="236"/>
        <w:gridCol w:w="2055"/>
        <w:gridCol w:w="236"/>
        <w:gridCol w:w="1870"/>
        <w:gridCol w:w="236"/>
        <w:gridCol w:w="1897"/>
      </w:tblGrid>
      <w:tr w:rsidR="00EF2901" w:rsidRPr="00A02DF6" w14:paraId="7E7A1667" w14:textId="77777777" w:rsidTr="00F41610">
        <w:trPr>
          <w:trHeight w:val="512"/>
          <w:jc w:val="center"/>
        </w:trPr>
        <w:tc>
          <w:tcPr>
            <w:tcW w:w="955" w:type="dxa"/>
            <w:vAlign w:val="center"/>
          </w:tcPr>
          <w:p w14:paraId="10BD37DD" w14:textId="77777777" w:rsidR="00EF2901" w:rsidRPr="00080611" w:rsidRDefault="00EF2901" w:rsidP="00AB4665">
            <w:pPr>
              <w:keepNext/>
              <w:jc w:val="center"/>
              <w:rPr>
                <w:sz w:val="18"/>
                <w:szCs w:val="18"/>
              </w:rPr>
            </w:pPr>
            <w:r w:rsidRPr="00080611">
              <w:rPr>
                <w:sz w:val="18"/>
                <w:szCs w:val="18"/>
              </w:rPr>
              <w:t>Decision:</w:t>
            </w:r>
          </w:p>
        </w:tc>
        <w:tc>
          <w:tcPr>
            <w:tcW w:w="1871" w:type="dxa"/>
            <w:shd w:val="clear" w:color="auto" w:fill="0F4761" w:themeFill="accent1" w:themeFillShade="BF"/>
            <w:vAlign w:val="center"/>
          </w:tcPr>
          <w:p w14:paraId="4614DA66" w14:textId="77777777" w:rsidR="00EF2901" w:rsidRPr="00793B47" w:rsidRDefault="00EF2901" w:rsidP="00AB4665">
            <w:pPr>
              <w:keepNext/>
              <w:jc w:val="center"/>
              <w:rPr>
                <w:sz w:val="18"/>
                <w:szCs w:val="20"/>
              </w:rPr>
            </w:pPr>
            <w:r w:rsidRPr="00793B47">
              <w:rPr>
                <w:sz w:val="18"/>
                <w:szCs w:val="20"/>
              </w:rPr>
              <w:t>Adopt it</w:t>
            </w:r>
          </w:p>
        </w:tc>
        <w:tc>
          <w:tcPr>
            <w:tcW w:w="236" w:type="dxa"/>
            <w:vAlign w:val="center"/>
          </w:tcPr>
          <w:p w14:paraId="290B4EFA" w14:textId="77777777" w:rsidR="00EF2901" w:rsidRPr="00793B47" w:rsidRDefault="00EF2901" w:rsidP="00AB4665">
            <w:pPr>
              <w:keepNext/>
              <w:jc w:val="center"/>
              <w:rPr>
                <w:sz w:val="18"/>
                <w:szCs w:val="20"/>
              </w:rPr>
            </w:pPr>
          </w:p>
        </w:tc>
        <w:tc>
          <w:tcPr>
            <w:tcW w:w="2055" w:type="dxa"/>
            <w:shd w:val="clear" w:color="auto" w:fill="0F4761" w:themeFill="accent1" w:themeFillShade="BF"/>
            <w:vAlign w:val="center"/>
          </w:tcPr>
          <w:p w14:paraId="31E19115" w14:textId="455E7153" w:rsidR="00EF2901" w:rsidRPr="00793B47" w:rsidRDefault="00EF2901" w:rsidP="00AB4665">
            <w:pPr>
              <w:keepNext/>
              <w:jc w:val="center"/>
              <w:rPr>
                <w:sz w:val="18"/>
                <w:szCs w:val="20"/>
              </w:rPr>
            </w:pPr>
            <w:r w:rsidRPr="00793B47">
              <w:rPr>
                <w:sz w:val="18"/>
                <w:szCs w:val="20"/>
              </w:rPr>
              <w:t>Continue/</w:t>
            </w:r>
            <w:r w:rsidR="009A05AC">
              <w:rPr>
                <w:sz w:val="18"/>
                <w:szCs w:val="20"/>
              </w:rPr>
              <w:t>Adapt</w:t>
            </w:r>
            <w:r w:rsidRPr="00793B47">
              <w:rPr>
                <w:sz w:val="18"/>
                <w:szCs w:val="20"/>
              </w:rPr>
              <w:t xml:space="preserve"> it</w:t>
            </w:r>
          </w:p>
        </w:tc>
        <w:tc>
          <w:tcPr>
            <w:tcW w:w="236" w:type="dxa"/>
            <w:vAlign w:val="center"/>
          </w:tcPr>
          <w:p w14:paraId="35879850" w14:textId="77777777" w:rsidR="00EF2901" w:rsidRPr="00793B47" w:rsidRDefault="00EF2901" w:rsidP="00AB4665">
            <w:pPr>
              <w:keepNext/>
              <w:jc w:val="center"/>
              <w:rPr>
                <w:sz w:val="18"/>
                <w:szCs w:val="20"/>
              </w:rPr>
            </w:pPr>
          </w:p>
        </w:tc>
        <w:tc>
          <w:tcPr>
            <w:tcW w:w="1870" w:type="dxa"/>
            <w:shd w:val="clear" w:color="auto" w:fill="0F4761" w:themeFill="accent1" w:themeFillShade="BF"/>
            <w:vAlign w:val="center"/>
          </w:tcPr>
          <w:p w14:paraId="2DEB0C0E" w14:textId="77777777" w:rsidR="00EF2901" w:rsidRPr="00793B47" w:rsidRDefault="00EF2901" w:rsidP="00AB4665">
            <w:pPr>
              <w:keepNext/>
              <w:jc w:val="center"/>
              <w:rPr>
                <w:sz w:val="18"/>
                <w:szCs w:val="20"/>
              </w:rPr>
            </w:pPr>
            <w:r w:rsidRPr="00793B47">
              <w:rPr>
                <w:sz w:val="18"/>
                <w:szCs w:val="20"/>
              </w:rPr>
              <w:t>Roll-out/Transfer it</w:t>
            </w:r>
          </w:p>
        </w:tc>
        <w:tc>
          <w:tcPr>
            <w:tcW w:w="236" w:type="dxa"/>
            <w:vAlign w:val="center"/>
          </w:tcPr>
          <w:p w14:paraId="2D3A4A81" w14:textId="77777777" w:rsidR="00EF2901" w:rsidRPr="00793B47" w:rsidRDefault="00EF2901" w:rsidP="00AB4665">
            <w:pPr>
              <w:keepNext/>
              <w:jc w:val="center"/>
              <w:rPr>
                <w:sz w:val="18"/>
                <w:szCs w:val="20"/>
              </w:rPr>
            </w:pPr>
          </w:p>
        </w:tc>
        <w:tc>
          <w:tcPr>
            <w:tcW w:w="1897" w:type="dxa"/>
            <w:shd w:val="clear" w:color="auto" w:fill="0F4761" w:themeFill="accent1" w:themeFillShade="BF"/>
            <w:vAlign w:val="center"/>
          </w:tcPr>
          <w:p w14:paraId="30491367" w14:textId="77777777" w:rsidR="00EF2901" w:rsidRPr="00793B47" w:rsidRDefault="00EF2901" w:rsidP="00AB4665">
            <w:pPr>
              <w:keepNext/>
              <w:jc w:val="center"/>
              <w:rPr>
                <w:sz w:val="18"/>
                <w:szCs w:val="20"/>
              </w:rPr>
            </w:pPr>
            <w:r w:rsidRPr="00793B47">
              <w:rPr>
                <w:sz w:val="18"/>
                <w:szCs w:val="20"/>
              </w:rPr>
              <w:t>Stop it</w:t>
            </w:r>
          </w:p>
        </w:tc>
      </w:tr>
      <w:tr w:rsidR="00EF2901" w:rsidRPr="00AB4665" w14:paraId="6A9E31CE" w14:textId="77777777" w:rsidTr="00F41610">
        <w:trPr>
          <w:jc w:val="center"/>
        </w:trPr>
        <w:tc>
          <w:tcPr>
            <w:tcW w:w="955" w:type="dxa"/>
            <w:vAlign w:val="center"/>
          </w:tcPr>
          <w:p w14:paraId="2CBA7244" w14:textId="77777777" w:rsidR="00EF2901" w:rsidRPr="00AB4665" w:rsidRDefault="00EF2901" w:rsidP="00AB4665">
            <w:pPr>
              <w:pStyle w:val="Gap"/>
              <w:rPr>
                <w:sz w:val="2"/>
                <w:szCs w:val="2"/>
              </w:rPr>
            </w:pPr>
          </w:p>
        </w:tc>
        <w:tc>
          <w:tcPr>
            <w:tcW w:w="1871" w:type="dxa"/>
            <w:tcBorders>
              <w:bottom w:val="single" w:sz="4" w:space="0" w:color="auto"/>
            </w:tcBorders>
            <w:vAlign w:val="center"/>
          </w:tcPr>
          <w:p w14:paraId="07BE767E" w14:textId="77777777" w:rsidR="00EF2901" w:rsidRPr="00AB4665" w:rsidRDefault="00EF2901" w:rsidP="00AB4665">
            <w:pPr>
              <w:pStyle w:val="Gap"/>
              <w:rPr>
                <w:sz w:val="2"/>
                <w:szCs w:val="2"/>
              </w:rPr>
            </w:pPr>
          </w:p>
        </w:tc>
        <w:tc>
          <w:tcPr>
            <w:tcW w:w="236" w:type="dxa"/>
            <w:vAlign w:val="center"/>
          </w:tcPr>
          <w:p w14:paraId="30D486CF" w14:textId="77777777" w:rsidR="00EF2901" w:rsidRPr="00AB4665" w:rsidRDefault="00EF2901" w:rsidP="00AB4665">
            <w:pPr>
              <w:pStyle w:val="Gap"/>
              <w:rPr>
                <w:sz w:val="2"/>
                <w:szCs w:val="2"/>
              </w:rPr>
            </w:pPr>
          </w:p>
        </w:tc>
        <w:tc>
          <w:tcPr>
            <w:tcW w:w="2055" w:type="dxa"/>
            <w:tcBorders>
              <w:bottom w:val="single" w:sz="4" w:space="0" w:color="auto"/>
            </w:tcBorders>
            <w:vAlign w:val="center"/>
          </w:tcPr>
          <w:p w14:paraId="64446E2A" w14:textId="77777777" w:rsidR="00EF2901" w:rsidRPr="00AB4665" w:rsidRDefault="00EF2901" w:rsidP="00AB4665">
            <w:pPr>
              <w:pStyle w:val="Gap"/>
              <w:rPr>
                <w:sz w:val="2"/>
                <w:szCs w:val="2"/>
              </w:rPr>
            </w:pPr>
          </w:p>
        </w:tc>
        <w:tc>
          <w:tcPr>
            <w:tcW w:w="236" w:type="dxa"/>
            <w:vAlign w:val="center"/>
          </w:tcPr>
          <w:p w14:paraId="30433F97" w14:textId="77777777" w:rsidR="00EF2901" w:rsidRPr="00AB4665" w:rsidRDefault="00EF2901" w:rsidP="00AB4665">
            <w:pPr>
              <w:pStyle w:val="Gap"/>
              <w:rPr>
                <w:sz w:val="2"/>
                <w:szCs w:val="2"/>
              </w:rPr>
            </w:pPr>
          </w:p>
        </w:tc>
        <w:tc>
          <w:tcPr>
            <w:tcW w:w="1870" w:type="dxa"/>
            <w:tcBorders>
              <w:bottom w:val="single" w:sz="4" w:space="0" w:color="auto"/>
            </w:tcBorders>
            <w:vAlign w:val="center"/>
          </w:tcPr>
          <w:p w14:paraId="1EEB40C6" w14:textId="77777777" w:rsidR="00EF2901" w:rsidRPr="00AB4665" w:rsidRDefault="00EF2901" w:rsidP="00AB4665">
            <w:pPr>
              <w:pStyle w:val="Gap"/>
              <w:rPr>
                <w:sz w:val="2"/>
                <w:szCs w:val="2"/>
              </w:rPr>
            </w:pPr>
          </w:p>
        </w:tc>
        <w:tc>
          <w:tcPr>
            <w:tcW w:w="236" w:type="dxa"/>
            <w:vAlign w:val="center"/>
          </w:tcPr>
          <w:p w14:paraId="4220B942" w14:textId="77777777" w:rsidR="00EF2901" w:rsidRPr="00AB4665" w:rsidRDefault="00EF2901" w:rsidP="00AB4665">
            <w:pPr>
              <w:pStyle w:val="Gap"/>
              <w:rPr>
                <w:sz w:val="2"/>
                <w:szCs w:val="2"/>
              </w:rPr>
            </w:pPr>
          </w:p>
        </w:tc>
        <w:tc>
          <w:tcPr>
            <w:tcW w:w="1897" w:type="dxa"/>
            <w:tcBorders>
              <w:bottom w:val="single" w:sz="4" w:space="0" w:color="auto"/>
            </w:tcBorders>
            <w:vAlign w:val="center"/>
          </w:tcPr>
          <w:p w14:paraId="7C6FDDD5" w14:textId="77777777" w:rsidR="00EF2901" w:rsidRPr="00AB4665" w:rsidRDefault="00EF2901" w:rsidP="00AB4665">
            <w:pPr>
              <w:pStyle w:val="Gap"/>
              <w:rPr>
                <w:sz w:val="2"/>
                <w:szCs w:val="2"/>
              </w:rPr>
            </w:pPr>
          </w:p>
        </w:tc>
      </w:tr>
      <w:tr w:rsidR="00EF2901" w:rsidRPr="00A02DF6" w14:paraId="0DB5974F" w14:textId="77777777" w:rsidTr="00F41610">
        <w:trPr>
          <w:jc w:val="center"/>
        </w:trPr>
        <w:tc>
          <w:tcPr>
            <w:tcW w:w="955" w:type="dxa"/>
            <w:tcBorders>
              <w:right w:val="single" w:sz="4" w:space="0" w:color="auto"/>
            </w:tcBorders>
            <w:vAlign w:val="center"/>
          </w:tcPr>
          <w:p w14:paraId="51E9AEBC" w14:textId="77777777" w:rsidR="00EF2901" w:rsidRPr="00080611" w:rsidRDefault="00EF2901" w:rsidP="00857D29">
            <w:pPr>
              <w:jc w:val="center"/>
              <w:rPr>
                <w:sz w:val="18"/>
                <w:szCs w:val="18"/>
              </w:rPr>
            </w:pPr>
            <w:r w:rsidRPr="00080611">
              <w:rPr>
                <w:sz w:val="18"/>
                <w:szCs w:val="18"/>
              </w:rPr>
              <w:t>Useful impact evidence used</w:t>
            </w:r>
          </w:p>
        </w:tc>
        <w:tc>
          <w:tcPr>
            <w:tcW w:w="1871" w:type="dxa"/>
            <w:tcBorders>
              <w:top w:val="single" w:sz="4" w:space="0" w:color="auto"/>
              <w:left w:val="single" w:sz="4" w:space="0" w:color="auto"/>
              <w:bottom w:val="single" w:sz="4" w:space="0" w:color="auto"/>
              <w:right w:val="single" w:sz="4" w:space="0" w:color="auto"/>
            </w:tcBorders>
            <w:vAlign w:val="center"/>
          </w:tcPr>
          <w:p w14:paraId="0CE148A7" w14:textId="6A2D39C6" w:rsidR="00EF2901" w:rsidRPr="00D929F9" w:rsidRDefault="00EF2901" w:rsidP="00857D29">
            <w:pPr>
              <w:jc w:val="center"/>
              <w:rPr>
                <w:sz w:val="18"/>
                <w:szCs w:val="20"/>
              </w:rPr>
            </w:pPr>
            <w:r w:rsidRPr="00D929F9">
              <w:rPr>
                <w:sz w:val="18"/>
                <w:szCs w:val="20"/>
              </w:rPr>
              <w:t>Existing external evidence to show intervention is associated with results, positive internal evidence of outcomes and practitioner expertise/</w:t>
            </w:r>
            <w:r w:rsidR="00FD28C6">
              <w:rPr>
                <w:sz w:val="18"/>
                <w:szCs w:val="20"/>
              </w:rPr>
              <w:t xml:space="preserve"> </w:t>
            </w:r>
            <w:r w:rsidRPr="00D929F9">
              <w:rPr>
                <w:sz w:val="18"/>
                <w:szCs w:val="20"/>
              </w:rPr>
              <w:t>experience</w:t>
            </w:r>
          </w:p>
        </w:tc>
        <w:tc>
          <w:tcPr>
            <w:tcW w:w="236" w:type="dxa"/>
            <w:tcBorders>
              <w:left w:val="single" w:sz="4" w:space="0" w:color="auto"/>
              <w:right w:val="single" w:sz="4" w:space="0" w:color="auto"/>
            </w:tcBorders>
            <w:vAlign w:val="center"/>
          </w:tcPr>
          <w:p w14:paraId="39ACE6CA" w14:textId="77777777" w:rsidR="00EF2901" w:rsidRPr="00D929F9" w:rsidRDefault="00EF2901" w:rsidP="00857D29">
            <w:pPr>
              <w:jc w:val="center"/>
              <w:rPr>
                <w:sz w:val="18"/>
                <w:szCs w:val="20"/>
              </w:rPr>
            </w:pPr>
          </w:p>
        </w:tc>
        <w:tc>
          <w:tcPr>
            <w:tcW w:w="2055" w:type="dxa"/>
            <w:tcBorders>
              <w:top w:val="single" w:sz="4" w:space="0" w:color="auto"/>
              <w:left w:val="single" w:sz="4" w:space="0" w:color="auto"/>
              <w:bottom w:val="single" w:sz="4" w:space="0" w:color="auto"/>
              <w:right w:val="single" w:sz="4" w:space="0" w:color="auto"/>
            </w:tcBorders>
            <w:vAlign w:val="center"/>
          </w:tcPr>
          <w:p w14:paraId="391EAF19" w14:textId="77777777" w:rsidR="00EF2901" w:rsidRPr="00D929F9" w:rsidRDefault="00EF2901" w:rsidP="00857D29">
            <w:pPr>
              <w:jc w:val="center"/>
              <w:rPr>
                <w:sz w:val="18"/>
                <w:szCs w:val="20"/>
              </w:rPr>
            </w:pPr>
            <w:r w:rsidRPr="00D929F9">
              <w:rPr>
                <w:sz w:val="18"/>
                <w:szCs w:val="20"/>
              </w:rPr>
              <w:t>Evidence to suggest there are positive results from the intervention compared to without it, even though causality isn’t proven</w:t>
            </w:r>
          </w:p>
        </w:tc>
        <w:tc>
          <w:tcPr>
            <w:tcW w:w="236" w:type="dxa"/>
            <w:tcBorders>
              <w:left w:val="single" w:sz="4" w:space="0" w:color="auto"/>
              <w:right w:val="single" w:sz="4" w:space="0" w:color="auto"/>
            </w:tcBorders>
            <w:vAlign w:val="center"/>
          </w:tcPr>
          <w:p w14:paraId="69301225" w14:textId="77777777" w:rsidR="00EF2901" w:rsidRPr="00D929F9" w:rsidRDefault="00EF2901" w:rsidP="00857D29">
            <w:pPr>
              <w:jc w:val="center"/>
              <w:rPr>
                <w:sz w:val="18"/>
                <w:szCs w:val="20"/>
              </w:rPr>
            </w:pPr>
          </w:p>
        </w:tc>
        <w:tc>
          <w:tcPr>
            <w:tcW w:w="1870" w:type="dxa"/>
            <w:tcBorders>
              <w:top w:val="single" w:sz="4" w:space="0" w:color="auto"/>
              <w:left w:val="single" w:sz="4" w:space="0" w:color="auto"/>
              <w:bottom w:val="single" w:sz="4" w:space="0" w:color="auto"/>
              <w:right w:val="single" w:sz="4" w:space="0" w:color="auto"/>
            </w:tcBorders>
            <w:vAlign w:val="center"/>
          </w:tcPr>
          <w:p w14:paraId="7434FAE4" w14:textId="77777777" w:rsidR="00EF2901" w:rsidRPr="00D929F9" w:rsidRDefault="00EF2901" w:rsidP="00857D29">
            <w:pPr>
              <w:jc w:val="center"/>
              <w:rPr>
                <w:sz w:val="18"/>
                <w:szCs w:val="20"/>
              </w:rPr>
            </w:pPr>
            <w:r w:rsidRPr="00D929F9">
              <w:rPr>
                <w:sz w:val="18"/>
                <w:szCs w:val="20"/>
              </w:rPr>
              <w:t>Evidence to suggest that the investment in the intervention caused the desired result</w:t>
            </w:r>
          </w:p>
        </w:tc>
        <w:tc>
          <w:tcPr>
            <w:tcW w:w="236" w:type="dxa"/>
            <w:tcBorders>
              <w:left w:val="single" w:sz="4" w:space="0" w:color="auto"/>
              <w:right w:val="single" w:sz="4" w:space="0" w:color="auto"/>
            </w:tcBorders>
            <w:vAlign w:val="center"/>
          </w:tcPr>
          <w:p w14:paraId="2F89FAC9" w14:textId="77777777" w:rsidR="00EF2901" w:rsidRPr="00D929F9" w:rsidRDefault="00EF2901" w:rsidP="00857D29">
            <w:pPr>
              <w:jc w:val="center"/>
              <w:rPr>
                <w:sz w:val="18"/>
                <w:szCs w:val="20"/>
              </w:rPr>
            </w:pPr>
          </w:p>
        </w:tc>
        <w:tc>
          <w:tcPr>
            <w:tcW w:w="1897" w:type="dxa"/>
            <w:tcBorders>
              <w:top w:val="single" w:sz="4" w:space="0" w:color="auto"/>
              <w:left w:val="single" w:sz="4" w:space="0" w:color="auto"/>
              <w:bottom w:val="single" w:sz="4" w:space="0" w:color="auto"/>
              <w:right w:val="single" w:sz="4" w:space="0" w:color="auto"/>
            </w:tcBorders>
            <w:vAlign w:val="center"/>
          </w:tcPr>
          <w:p w14:paraId="5B66B188" w14:textId="77777777" w:rsidR="00EF2901" w:rsidRPr="00D929F9" w:rsidRDefault="00EF2901" w:rsidP="00857D29">
            <w:pPr>
              <w:jc w:val="center"/>
              <w:rPr>
                <w:sz w:val="18"/>
                <w:szCs w:val="20"/>
              </w:rPr>
            </w:pPr>
            <w:r w:rsidRPr="00D929F9">
              <w:rPr>
                <w:sz w:val="18"/>
                <w:szCs w:val="20"/>
              </w:rPr>
              <w:t>No evidence of outcomes or evidence of negative effectiveness</w:t>
            </w:r>
          </w:p>
        </w:tc>
      </w:tr>
    </w:tbl>
    <w:p w14:paraId="1C976D25" w14:textId="77777777" w:rsidR="00F41610" w:rsidRPr="00F41610" w:rsidRDefault="00F41610" w:rsidP="00F41610">
      <w:pPr>
        <w:pStyle w:val="Gap"/>
        <w:rPr>
          <w:sz w:val="2"/>
          <w:szCs w:val="2"/>
        </w:rPr>
      </w:pPr>
    </w:p>
    <w:p w14:paraId="5344BF0D" w14:textId="40BF2E0F" w:rsidR="00EF2901" w:rsidRDefault="005A6358" w:rsidP="00EF2901">
      <w:r>
        <w:t xml:space="preserve">The </w:t>
      </w:r>
      <w:proofErr w:type="spellStart"/>
      <w:r w:rsidR="00B534B1">
        <w:t>OfS</w:t>
      </w:r>
      <w:proofErr w:type="spellEnd"/>
      <w:r w:rsidR="00B534B1">
        <w:t xml:space="preserve"> requires </w:t>
      </w:r>
      <w:r w:rsidR="00EF2901">
        <w:t xml:space="preserve">providers to commit to at least Type 2 </w:t>
      </w:r>
      <w:r w:rsidR="00A3762D">
        <w:t>evidence</w:t>
      </w:r>
      <w:r w:rsidR="00EF2901">
        <w:t xml:space="preserve"> for Intervention Strategies and the most resource intensive activities within the plans </w:t>
      </w:r>
      <w:r w:rsidR="00A049F5">
        <w:t>plus for</w:t>
      </w:r>
      <w:r w:rsidR="00EF2901">
        <w:t xml:space="preserve"> new/pilot activities for which the contribution to knowledge will be greate</w:t>
      </w:r>
      <w:r w:rsidR="006C4AD9">
        <w:t xml:space="preserve">st. </w:t>
      </w:r>
      <w:r w:rsidR="00EF2901">
        <w:t xml:space="preserve">However, there is a need for a considered approach so that </w:t>
      </w:r>
      <w:r w:rsidR="008E0FC2">
        <w:t>the evaluation</w:t>
      </w:r>
      <w:r w:rsidR="00EF2901">
        <w:t xml:space="preserve"> focuses on the key outcomes of most interest</w:t>
      </w:r>
      <w:r w:rsidR="001162B3">
        <w:t xml:space="preserve"> at the right time</w:t>
      </w:r>
      <w:r w:rsidR="008E0FC2">
        <w:t xml:space="preserve"> (</w:t>
      </w:r>
      <w:r w:rsidR="00EF2901">
        <w:t>which depend</w:t>
      </w:r>
      <w:r w:rsidR="008E0FC2">
        <w:t xml:space="preserve">s </w:t>
      </w:r>
      <w:r w:rsidR="00EF2901">
        <w:t>on phas</w:t>
      </w:r>
      <w:r w:rsidR="001162B3">
        <w:t>ing</w:t>
      </w:r>
      <w:r w:rsidR="008E0FC2">
        <w:t xml:space="preserve">) </w:t>
      </w:r>
      <w:r w:rsidR="001162B3">
        <w:t xml:space="preserve">and </w:t>
      </w:r>
      <w:r w:rsidR="00EF2901">
        <w:t xml:space="preserve">in turn will be </w:t>
      </w:r>
      <w:r w:rsidR="00EF2901">
        <w:lastRenderedPageBreak/>
        <w:t xml:space="preserve">influenced by the nature of the outcomes and impacts being evaluated. Where the shift to a </w:t>
      </w:r>
      <w:r w:rsidR="009018C9">
        <w:t>t</w:t>
      </w:r>
      <w:r w:rsidR="00EF2901">
        <w:t xml:space="preserve">ype of evidence happens could vary. For </w:t>
      </w:r>
      <w:r w:rsidR="007271CB">
        <w:t>example,</w:t>
      </w:r>
      <w:r w:rsidR="00EF2901">
        <w:t xml:space="preserve"> an impact evaluation which embeds a pre-post evaluation design might embed Type 2 from the start (to provide a before/after counterfactual). A Type 2 evaluation which uses non-participant data as a comparison might need to look at the evidence at the end of a delivery cycle, and perhaps the Type 2 evidence could be strengthened over time by working towards a difference-in-difference approach, or by framing the evaluation as part of an experimental (Type 3) design. The above types of design could fit within a theory-</w:t>
      </w:r>
      <w:r w:rsidR="00BC6566">
        <w:t>based</w:t>
      </w:r>
      <w:r w:rsidR="00EF2901">
        <w:t xml:space="preserve"> evaluation - in which case the </w:t>
      </w:r>
      <w:r w:rsidR="0060691E">
        <w:t xml:space="preserve">current standards of evidence </w:t>
      </w:r>
      <w:r w:rsidR="00EF2901">
        <w:t xml:space="preserve">typology might hold. However, it is less clear where </w:t>
      </w:r>
      <w:r w:rsidR="00162694">
        <w:t>alternative (non-experimental)</w:t>
      </w:r>
      <w:r w:rsidR="00EF2901">
        <w:t xml:space="preserve"> approaches to evaluation strengthening through theory-based methods fit in</w:t>
      </w:r>
      <w:r w:rsidR="00162694">
        <w:t>to the standards fra</w:t>
      </w:r>
      <w:r w:rsidR="00216414">
        <w:t xml:space="preserve">mework (e.g. </w:t>
      </w:r>
      <w:r w:rsidR="005416F5">
        <w:t>for example</w:t>
      </w:r>
      <w:r w:rsidR="00492193">
        <w:t xml:space="preserve"> </w:t>
      </w:r>
      <w:r w:rsidR="00EF2901">
        <w:t>case-based and contextualised approaches or a contribution analysis</w:t>
      </w:r>
      <w:r w:rsidR="00216414">
        <w:t>)</w:t>
      </w:r>
      <w:r w:rsidR="00EF2901">
        <w:t xml:space="preserve">. </w:t>
      </w:r>
    </w:p>
    <w:p w14:paraId="5D22E49E" w14:textId="24D06422" w:rsidR="0067592E" w:rsidRDefault="0067592E" w:rsidP="0067592E">
      <w:pPr>
        <w:ind w:left="567"/>
        <w:rPr>
          <w:i/>
          <w:iCs/>
        </w:rPr>
      </w:pPr>
      <w:r w:rsidRPr="006F6C34">
        <w:rPr>
          <w:i/>
          <w:iCs/>
        </w:rPr>
        <w:t xml:space="preserve">I think the key challenge really is that the standards of evidence don't </w:t>
      </w:r>
      <w:proofErr w:type="gramStart"/>
      <w:r w:rsidRPr="006F6C34">
        <w:rPr>
          <w:i/>
          <w:iCs/>
        </w:rPr>
        <w:t>actually spell</w:t>
      </w:r>
      <w:proofErr w:type="gramEnd"/>
      <w:r w:rsidRPr="006F6C34">
        <w:rPr>
          <w:i/>
          <w:iCs/>
        </w:rPr>
        <w:t xml:space="preserve"> out evidence quality criteria</w:t>
      </w:r>
      <w:r>
        <w:rPr>
          <w:i/>
          <w:iCs/>
        </w:rPr>
        <w:t>.</w:t>
      </w:r>
      <w:r w:rsidRPr="006F6C34">
        <w:rPr>
          <w:i/>
          <w:iCs/>
        </w:rPr>
        <w:t xml:space="preserve"> I thus worry that by conflating methods with quality criteria, we both uncritically accept 'gold standard' methods, and at the same time dismiss relevant causal evidence from non-gold standard methods. </w:t>
      </w:r>
      <w:r w:rsidRPr="00E14259">
        <w:rPr>
          <w:i/>
          <w:iCs/>
        </w:rPr>
        <w:t xml:space="preserve"> </w:t>
      </w:r>
    </w:p>
    <w:p w14:paraId="3A9E5356" w14:textId="59323EA5" w:rsidR="00373796" w:rsidRDefault="00373796" w:rsidP="00373796">
      <w:pPr>
        <w:ind w:left="567"/>
        <w:rPr>
          <w:i/>
          <w:iCs/>
        </w:rPr>
      </w:pPr>
      <w:r>
        <w:rPr>
          <w:i/>
          <w:iCs/>
        </w:rPr>
        <w:t>O</w:t>
      </w:r>
      <w:r w:rsidRPr="00735D33">
        <w:rPr>
          <w:i/>
          <w:iCs/>
        </w:rPr>
        <w:t xml:space="preserve">ne of my key concerns </w:t>
      </w:r>
      <w:r>
        <w:rPr>
          <w:i/>
          <w:iCs/>
        </w:rPr>
        <w:t>is</w:t>
      </w:r>
      <w:r w:rsidRPr="00735D33">
        <w:rPr>
          <w:i/>
          <w:iCs/>
        </w:rPr>
        <w:t xml:space="preserve"> if it is </w:t>
      </w:r>
      <w:r>
        <w:rPr>
          <w:i/>
          <w:iCs/>
        </w:rPr>
        <w:t>T</w:t>
      </w:r>
      <w:r w:rsidRPr="00735D33">
        <w:rPr>
          <w:i/>
          <w:iCs/>
        </w:rPr>
        <w:t>ype 3 everybody just nods along, not questioning whether the method was applied appro</w:t>
      </w:r>
      <w:r>
        <w:rPr>
          <w:i/>
          <w:iCs/>
        </w:rPr>
        <w:t>pri</w:t>
      </w:r>
      <w:r w:rsidRPr="00735D33">
        <w:rPr>
          <w:i/>
          <w:iCs/>
        </w:rPr>
        <w:t xml:space="preserve">ately, whether the information it provides </w:t>
      </w:r>
      <w:proofErr w:type="gramStart"/>
      <w:r w:rsidRPr="00735D33">
        <w:rPr>
          <w:i/>
          <w:iCs/>
        </w:rPr>
        <w:t>actually answers</w:t>
      </w:r>
      <w:proofErr w:type="gramEnd"/>
      <w:r w:rsidRPr="00735D33">
        <w:rPr>
          <w:i/>
          <w:iCs/>
        </w:rPr>
        <w:t xml:space="preserve"> the question we want to answer, whether samples were sufficient etc.</w:t>
      </w:r>
    </w:p>
    <w:p w14:paraId="4C5166C7" w14:textId="148129C4" w:rsidR="006E42DE" w:rsidRPr="006E42DE" w:rsidRDefault="006E42DE" w:rsidP="006E42DE">
      <w:pPr>
        <w:ind w:left="567"/>
      </w:pPr>
      <w:r>
        <w:rPr>
          <w:i/>
          <w:iCs/>
        </w:rPr>
        <w:t xml:space="preserve">From my perspective </w:t>
      </w:r>
      <w:r w:rsidRPr="00AD4197">
        <w:t xml:space="preserve">[HE </w:t>
      </w:r>
      <w:proofErr w:type="gramStart"/>
      <w:r w:rsidRPr="00AD4197">
        <w:t>outreach</w:t>
      </w:r>
      <w:proofErr w:type="gramEnd"/>
      <w:r w:rsidRPr="00AD4197">
        <w:t>]</w:t>
      </w:r>
      <w:r>
        <w:rPr>
          <w:i/>
          <w:iCs/>
        </w:rPr>
        <w:t xml:space="preserve"> it’s very hard to put causality on it – almost impossible. Pressure on that is not helpful to us. </w:t>
      </w:r>
      <w:proofErr w:type="gramStart"/>
      <w:r>
        <w:rPr>
          <w:i/>
          <w:iCs/>
        </w:rPr>
        <w:t>Plus</w:t>
      </w:r>
      <w:proofErr w:type="gramEnd"/>
      <w:r>
        <w:rPr>
          <w:i/>
          <w:iCs/>
        </w:rPr>
        <w:t xml:space="preserve"> within the team it could undermine some of the evaluation that we’ve got established and been doing for a long time and the huge lot of evidence we’re collecting.  </w:t>
      </w:r>
    </w:p>
    <w:p w14:paraId="5539B28B" w14:textId="76095D7B" w:rsidR="000548D4" w:rsidRDefault="000548D4" w:rsidP="000548D4">
      <w:r>
        <w:t xml:space="preserve">There is an interest in using theory-based evaluation and case-orientated methodologies as part of mixed methods evaluations. This type of approach to impact evaluation integrates causal reasoning and causal inference methods designed to test the programme theory underpinning interventions (Figure 3.2). </w:t>
      </w:r>
    </w:p>
    <w:p w14:paraId="35622EE5" w14:textId="3C653528" w:rsidR="00E462D3" w:rsidRDefault="000548D4" w:rsidP="00F37744">
      <w:pPr>
        <w:keepNext/>
      </w:pPr>
      <w:r>
        <w:t>Figure 3.2:  Causal Questions and Evaluation Methods</w:t>
      </w:r>
    </w:p>
    <w:tbl>
      <w:tblPr>
        <w:tblStyle w:val="TableGrid"/>
        <w:tblW w:w="10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877"/>
        <w:gridCol w:w="273"/>
        <w:gridCol w:w="976"/>
        <w:gridCol w:w="949"/>
        <w:gridCol w:w="737"/>
        <w:gridCol w:w="315"/>
        <w:gridCol w:w="748"/>
        <w:gridCol w:w="562"/>
        <w:gridCol w:w="295"/>
        <w:gridCol w:w="650"/>
        <w:gridCol w:w="933"/>
        <w:gridCol w:w="337"/>
        <w:gridCol w:w="855"/>
        <w:gridCol w:w="944"/>
      </w:tblGrid>
      <w:tr w:rsidR="00E462D3" w14:paraId="03EA56B4" w14:textId="77777777" w:rsidTr="003C7E5E">
        <w:trPr>
          <w:gridAfter w:val="1"/>
          <w:wAfter w:w="944" w:type="dxa"/>
          <w:trHeight w:val="284"/>
        </w:trPr>
        <w:tc>
          <w:tcPr>
            <w:tcW w:w="835" w:type="dxa"/>
          </w:tcPr>
          <w:p w14:paraId="12ADD678" w14:textId="77777777" w:rsidR="00E462D3" w:rsidRDefault="00E462D3" w:rsidP="003C7E5E">
            <w:pPr>
              <w:rPr>
                <w:sz w:val="16"/>
                <w:szCs w:val="18"/>
              </w:rPr>
            </w:pPr>
          </w:p>
        </w:tc>
        <w:tc>
          <w:tcPr>
            <w:tcW w:w="877" w:type="dxa"/>
          </w:tcPr>
          <w:p w14:paraId="320973D0" w14:textId="77777777" w:rsidR="00E462D3" w:rsidRDefault="00E462D3" w:rsidP="003C7E5E">
            <w:pPr>
              <w:rPr>
                <w:sz w:val="16"/>
                <w:szCs w:val="18"/>
              </w:rPr>
            </w:pPr>
          </w:p>
        </w:tc>
        <w:tc>
          <w:tcPr>
            <w:tcW w:w="273" w:type="dxa"/>
          </w:tcPr>
          <w:p w14:paraId="2FACD193" w14:textId="77777777" w:rsidR="00E462D3" w:rsidRDefault="00E462D3" w:rsidP="003C7E5E">
            <w:pPr>
              <w:rPr>
                <w:sz w:val="16"/>
                <w:szCs w:val="18"/>
              </w:rPr>
            </w:pPr>
          </w:p>
        </w:tc>
        <w:tc>
          <w:tcPr>
            <w:tcW w:w="1925" w:type="dxa"/>
            <w:gridSpan w:val="2"/>
          </w:tcPr>
          <w:p w14:paraId="13F0B42B" w14:textId="77777777" w:rsidR="00E462D3" w:rsidRDefault="00E462D3" w:rsidP="003C7E5E">
            <w:pPr>
              <w:jc w:val="center"/>
              <w:rPr>
                <w:sz w:val="16"/>
                <w:szCs w:val="18"/>
              </w:rPr>
            </w:pPr>
            <w:r>
              <w:rPr>
                <w:sz w:val="16"/>
                <w:szCs w:val="18"/>
              </w:rPr>
              <w:t>Methods</w:t>
            </w:r>
          </w:p>
        </w:tc>
        <w:tc>
          <w:tcPr>
            <w:tcW w:w="737" w:type="dxa"/>
          </w:tcPr>
          <w:p w14:paraId="143C9F34" w14:textId="77777777" w:rsidR="00E462D3" w:rsidRDefault="00E462D3" w:rsidP="003C7E5E">
            <w:pPr>
              <w:rPr>
                <w:sz w:val="16"/>
                <w:szCs w:val="18"/>
              </w:rPr>
            </w:pPr>
          </w:p>
        </w:tc>
        <w:tc>
          <w:tcPr>
            <w:tcW w:w="315" w:type="dxa"/>
          </w:tcPr>
          <w:p w14:paraId="74B44F9A" w14:textId="77777777" w:rsidR="00E462D3" w:rsidRDefault="00E462D3" w:rsidP="003C7E5E">
            <w:pPr>
              <w:rPr>
                <w:sz w:val="16"/>
                <w:szCs w:val="18"/>
              </w:rPr>
            </w:pPr>
          </w:p>
        </w:tc>
        <w:tc>
          <w:tcPr>
            <w:tcW w:w="1310" w:type="dxa"/>
            <w:gridSpan w:val="2"/>
          </w:tcPr>
          <w:p w14:paraId="445EAC40" w14:textId="77777777" w:rsidR="00E462D3" w:rsidRDefault="00E462D3" w:rsidP="003C7E5E">
            <w:pPr>
              <w:rPr>
                <w:sz w:val="16"/>
                <w:szCs w:val="18"/>
              </w:rPr>
            </w:pPr>
          </w:p>
        </w:tc>
        <w:tc>
          <w:tcPr>
            <w:tcW w:w="295" w:type="dxa"/>
          </w:tcPr>
          <w:p w14:paraId="7F02DCE7" w14:textId="77777777" w:rsidR="00E462D3" w:rsidRDefault="00E462D3" w:rsidP="003C7E5E">
            <w:pPr>
              <w:rPr>
                <w:sz w:val="16"/>
                <w:szCs w:val="18"/>
              </w:rPr>
            </w:pPr>
          </w:p>
        </w:tc>
        <w:tc>
          <w:tcPr>
            <w:tcW w:w="2775" w:type="dxa"/>
            <w:gridSpan w:val="4"/>
          </w:tcPr>
          <w:p w14:paraId="2BE178F7" w14:textId="77777777" w:rsidR="00E462D3" w:rsidRDefault="00E462D3" w:rsidP="003C7E5E">
            <w:pPr>
              <w:rPr>
                <w:sz w:val="16"/>
                <w:szCs w:val="18"/>
              </w:rPr>
            </w:pPr>
            <w:r>
              <w:rPr>
                <w:sz w:val="16"/>
                <w:szCs w:val="18"/>
              </w:rPr>
              <w:t>Causal questions/knowledge</w:t>
            </w:r>
          </w:p>
        </w:tc>
      </w:tr>
      <w:tr w:rsidR="00E462D3" w14:paraId="46ACA8BD" w14:textId="77777777" w:rsidTr="003C7E5E">
        <w:trPr>
          <w:gridAfter w:val="1"/>
          <w:wAfter w:w="944" w:type="dxa"/>
        </w:trPr>
        <w:tc>
          <w:tcPr>
            <w:tcW w:w="835" w:type="dxa"/>
          </w:tcPr>
          <w:p w14:paraId="500CE8FE" w14:textId="77777777" w:rsidR="00E462D3" w:rsidRDefault="00E462D3" w:rsidP="003C7E5E">
            <w:pPr>
              <w:spacing w:after="0"/>
              <w:rPr>
                <w:sz w:val="16"/>
                <w:szCs w:val="18"/>
              </w:rPr>
            </w:pPr>
          </w:p>
        </w:tc>
        <w:tc>
          <w:tcPr>
            <w:tcW w:w="877" w:type="dxa"/>
          </w:tcPr>
          <w:p w14:paraId="1A533B8E" w14:textId="77777777" w:rsidR="00E462D3" w:rsidRDefault="00E462D3" w:rsidP="003C7E5E">
            <w:pPr>
              <w:spacing w:after="0"/>
              <w:rPr>
                <w:sz w:val="16"/>
                <w:szCs w:val="18"/>
              </w:rPr>
            </w:pPr>
          </w:p>
        </w:tc>
        <w:tc>
          <w:tcPr>
            <w:tcW w:w="273" w:type="dxa"/>
            <w:tcBorders>
              <w:right w:val="single" w:sz="4" w:space="0" w:color="auto"/>
            </w:tcBorders>
          </w:tcPr>
          <w:p w14:paraId="062083EA" w14:textId="77777777" w:rsidR="00E462D3" w:rsidRDefault="00E462D3" w:rsidP="003C7E5E">
            <w:pPr>
              <w:spacing w:after="0"/>
              <w:rPr>
                <w:sz w:val="16"/>
                <w:szCs w:val="18"/>
              </w:rPr>
            </w:pPr>
          </w:p>
        </w:tc>
        <w:tc>
          <w:tcPr>
            <w:tcW w:w="1925" w:type="dxa"/>
            <w:gridSpan w:val="2"/>
            <w:vMerge w:val="restart"/>
            <w:tcBorders>
              <w:top w:val="single" w:sz="4" w:space="0" w:color="auto"/>
              <w:left w:val="single" w:sz="4" w:space="0" w:color="auto"/>
              <w:bottom w:val="single" w:sz="4" w:space="0" w:color="auto"/>
              <w:right w:val="single" w:sz="4" w:space="0" w:color="auto"/>
            </w:tcBorders>
          </w:tcPr>
          <w:p w14:paraId="28716CDE" w14:textId="77777777" w:rsidR="00E462D3" w:rsidRDefault="00E462D3" w:rsidP="003C7E5E">
            <w:pPr>
              <w:spacing w:after="0"/>
              <w:jc w:val="center"/>
              <w:rPr>
                <w:sz w:val="16"/>
                <w:szCs w:val="18"/>
              </w:rPr>
            </w:pPr>
            <w:r>
              <w:rPr>
                <w:sz w:val="16"/>
                <w:szCs w:val="18"/>
              </w:rPr>
              <w:t>Causal reasoning</w:t>
            </w:r>
          </w:p>
          <w:p w14:paraId="226A57B8" w14:textId="77777777" w:rsidR="00E462D3" w:rsidRDefault="00E462D3" w:rsidP="003C7E5E">
            <w:pPr>
              <w:spacing w:after="0"/>
              <w:jc w:val="center"/>
              <w:rPr>
                <w:sz w:val="16"/>
                <w:szCs w:val="18"/>
              </w:rPr>
            </w:pPr>
            <w:r>
              <w:rPr>
                <w:sz w:val="16"/>
                <w:szCs w:val="18"/>
              </w:rPr>
              <w:t>(identify the causal structures; the programme theory)</w:t>
            </w:r>
          </w:p>
        </w:tc>
        <w:tc>
          <w:tcPr>
            <w:tcW w:w="737" w:type="dxa"/>
            <w:tcBorders>
              <w:left w:val="single" w:sz="4" w:space="0" w:color="auto"/>
              <w:bottom w:val="single" w:sz="4" w:space="0" w:color="auto"/>
            </w:tcBorders>
          </w:tcPr>
          <w:p w14:paraId="64B3E3DD" w14:textId="77777777" w:rsidR="00E462D3" w:rsidRDefault="00E462D3" w:rsidP="003C7E5E">
            <w:pPr>
              <w:spacing w:after="0"/>
              <w:rPr>
                <w:sz w:val="16"/>
                <w:szCs w:val="18"/>
              </w:rPr>
            </w:pPr>
          </w:p>
        </w:tc>
        <w:tc>
          <w:tcPr>
            <w:tcW w:w="315" w:type="dxa"/>
            <w:tcBorders>
              <w:bottom w:val="single" w:sz="4" w:space="0" w:color="auto"/>
            </w:tcBorders>
          </w:tcPr>
          <w:p w14:paraId="64399410" w14:textId="77777777" w:rsidR="00E462D3" w:rsidRDefault="00E462D3" w:rsidP="003C7E5E">
            <w:pPr>
              <w:spacing w:after="0"/>
              <w:rPr>
                <w:sz w:val="16"/>
                <w:szCs w:val="18"/>
              </w:rPr>
            </w:pPr>
          </w:p>
        </w:tc>
        <w:tc>
          <w:tcPr>
            <w:tcW w:w="1310" w:type="dxa"/>
            <w:gridSpan w:val="2"/>
            <w:tcBorders>
              <w:bottom w:val="single" w:sz="4" w:space="0" w:color="auto"/>
            </w:tcBorders>
          </w:tcPr>
          <w:p w14:paraId="0FF2108B" w14:textId="77777777" w:rsidR="00E462D3" w:rsidRDefault="00E462D3" w:rsidP="003C7E5E">
            <w:pPr>
              <w:spacing w:after="0"/>
              <w:rPr>
                <w:sz w:val="16"/>
                <w:szCs w:val="18"/>
              </w:rPr>
            </w:pPr>
          </w:p>
        </w:tc>
        <w:tc>
          <w:tcPr>
            <w:tcW w:w="295" w:type="dxa"/>
            <w:tcBorders>
              <w:bottom w:val="single" w:sz="4" w:space="0" w:color="auto"/>
              <w:right w:val="single" w:sz="4" w:space="0" w:color="auto"/>
            </w:tcBorders>
          </w:tcPr>
          <w:p w14:paraId="54715918" w14:textId="77777777" w:rsidR="00E462D3" w:rsidRDefault="00E462D3" w:rsidP="003C7E5E">
            <w:pPr>
              <w:spacing w:after="0"/>
              <w:rPr>
                <w:sz w:val="16"/>
                <w:szCs w:val="18"/>
              </w:rPr>
            </w:pPr>
          </w:p>
        </w:tc>
        <w:tc>
          <w:tcPr>
            <w:tcW w:w="2775" w:type="dxa"/>
            <w:gridSpan w:val="4"/>
            <w:vMerge w:val="restart"/>
            <w:tcBorders>
              <w:top w:val="single" w:sz="4" w:space="0" w:color="auto"/>
              <w:left w:val="single" w:sz="4" w:space="0" w:color="auto"/>
              <w:bottom w:val="single" w:sz="4" w:space="0" w:color="auto"/>
              <w:right w:val="single" w:sz="4" w:space="0" w:color="auto"/>
            </w:tcBorders>
          </w:tcPr>
          <w:p w14:paraId="1B73DB31" w14:textId="77777777" w:rsidR="00E462D3" w:rsidRDefault="00E462D3" w:rsidP="003C7E5E">
            <w:pPr>
              <w:spacing w:after="0"/>
              <w:jc w:val="center"/>
              <w:rPr>
                <w:sz w:val="16"/>
                <w:szCs w:val="18"/>
              </w:rPr>
            </w:pPr>
            <w:r>
              <w:rPr>
                <w:sz w:val="16"/>
                <w:szCs w:val="18"/>
              </w:rPr>
              <w:t>Understanding of how/what factors drive the outcomes (directly and indirectly)</w:t>
            </w:r>
          </w:p>
        </w:tc>
      </w:tr>
      <w:tr w:rsidR="00E462D3" w14:paraId="18BE2826" w14:textId="77777777" w:rsidTr="003C7E5E">
        <w:trPr>
          <w:gridAfter w:val="1"/>
          <w:wAfter w:w="944" w:type="dxa"/>
        </w:trPr>
        <w:tc>
          <w:tcPr>
            <w:tcW w:w="835" w:type="dxa"/>
          </w:tcPr>
          <w:p w14:paraId="68D22E81" w14:textId="77777777" w:rsidR="00E462D3" w:rsidRDefault="00E462D3" w:rsidP="003C7E5E">
            <w:pPr>
              <w:rPr>
                <w:sz w:val="16"/>
                <w:szCs w:val="18"/>
              </w:rPr>
            </w:pPr>
          </w:p>
        </w:tc>
        <w:tc>
          <w:tcPr>
            <w:tcW w:w="877" w:type="dxa"/>
            <w:tcBorders>
              <w:bottom w:val="dashed" w:sz="4" w:space="0" w:color="auto"/>
            </w:tcBorders>
          </w:tcPr>
          <w:p w14:paraId="624EEE84" w14:textId="77777777" w:rsidR="00E462D3" w:rsidRDefault="00E462D3" w:rsidP="003C7E5E">
            <w:pPr>
              <w:rPr>
                <w:sz w:val="16"/>
                <w:szCs w:val="18"/>
              </w:rPr>
            </w:pPr>
          </w:p>
        </w:tc>
        <w:tc>
          <w:tcPr>
            <w:tcW w:w="273" w:type="dxa"/>
            <w:tcBorders>
              <w:bottom w:val="dashed" w:sz="4" w:space="0" w:color="auto"/>
              <w:right w:val="single" w:sz="4" w:space="0" w:color="auto"/>
            </w:tcBorders>
          </w:tcPr>
          <w:p w14:paraId="09212E20" w14:textId="77777777" w:rsidR="00E462D3" w:rsidRDefault="00E462D3" w:rsidP="003C7E5E">
            <w:pPr>
              <w:rPr>
                <w:sz w:val="16"/>
                <w:szCs w:val="18"/>
              </w:rPr>
            </w:pPr>
          </w:p>
        </w:tc>
        <w:tc>
          <w:tcPr>
            <w:tcW w:w="1925" w:type="dxa"/>
            <w:gridSpan w:val="2"/>
            <w:vMerge/>
            <w:tcBorders>
              <w:top w:val="single" w:sz="4" w:space="0" w:color="auto"/>
              <w:left w:val="single" w:sz="4" w:space="0" w:color="auto"/>
              <w:bottom w:val="single" w:sz="4" w:space="0" w:color="auto"/>
              <w:right w:val="single" w:sz="4" w:space="0" w:color="auto"/>
            </w:tcBorders>
          </w:tcPr>
          <w:p w14:paraId="58F331E1" w14:textId="77777777" w:rsidR="00E462D3" w:rsidRDefault="00E462D3" w:rsidP="003C7E5E">
            <w:pPr>
              <w:jc w:val="center"/>
              <w:rPr>
                <w:sz w:val="16"/>
                <w:szCs w:val="18"/>
              </w:rPr>
            </w:pPr>
          </w:p>
        </w:tc>
        <w:tc>
          <w:tcPr>
            <w:tcW w:w="737" w:type="dxa"/>
            <w:tcBorders>
              <w:left w:val="single" w:sz="4" w:space="0" w:color="auto"/>
              <w:bottom w:val="single" w:sz="4" w:space="0" w:color="auto"/>
            </w:tcBorders>
          </w:tcPr>
          <w:p w14:paraId="04CD5DAF" w14:textId="77777777" w:rsidR="00E462D3" w:rsidRDefault="00E462D3" w:rsidP="003C7E5E">
            <w:pPr>
              <w:rPr>
                <w:sz w:val="16"/>
                <w:szCs w:val="18"/>
              </w:rPr>
            </w:pPr>
          </w:p>
        </w:tc>
        <w:tc>
          <w:tcPr>
            <w:tcW w:w="315" w:type="dxa"/>
            <w:tcBorders>
              <w:bottom w:val="single" w:sz="4" w:space="0" w:color="auto"/>
            </w:tcBorders>
          </w:tcPr>
          <w:p w14:paraId="558FA6FD" w14:textId="77777777" w:rsidR="00E462D3" w:rsidRDefault="00E462D3" w:rsidP="003C7E5E">
            <w:pPr>
              <w:rPr>
                <w:sz w:val="16"/>
                <w:szCs w:val="18"/>
              </w:rPr>
            </w:pPr>
          </w:p>
        </w:tc>
        <w:tc>
          <w:tcPr>
            <w:tcW w:w="1310" w:type="dxa"/>
            <w:gridSpan w:val="2"/>
            <w:tcBorders>
              <w:top w:val="single" w:sz="4" w:space="0" w:color="auto"/>
              <w:right w:val="single" w:sz="4" w:space="0" w:color="auto"/>
            </w:tcBorders>
          </w:tcPr>
          <w:p w14:paraId="03061C65" w14:textId="77777777" w:rsidR="00E462D3" w:rsidRDefault="00E462D3" w:rsidP="003C7E5E">
            <w:pPr>
              <w:rPr>
                <w:sz w:val="16"/>
                <w:szCs w:val="18"/>
              </w:rPr>
            </w:pPr>
          </w:p>
        </w:tc>
        <w:tc>
          <w:tcPr>
            <w:tcW w:w="295" w:type="dxa"/>
            <w:tcBorders>
              <w:top w:val="single" w:sz="4" w:space="0" w:color="auto"/>
              <w:left w:val="single" w:sz="4" w:space="0" w:color="auto"/>
              <w:right w:val="single" w:sz="4" w:space="0" w:color="auto"/>
            </w:tcBorders>
          </w:tcPr>
          <w:p w14:paraId="1C7BF20F" w14:textId="77777777" w:rsidR="00E462D3" w:rsidRDefault="00E462D3" w:rsidP="003C7E5E">
            <w:pPr>
              <w:rPr>
                <w:sz w:val="16"/>
                <w:szCs w:val="18"/>
              </w:rPr>
            </w:pPr>
          </w:p>
        </w:tc>
        <w:tc>
          <w:tcPr>
            <w:tcW w:w="2775" w:type="dxa"/>
            <w:gridSpan w:val="4"/>
            <w:vMerge/>
            <w:tcBorders>
              <w:left w:val="single" w:sz="4" w:space="0" w:color="auto"/>
              <w:bottom w:val="single" w:sz="4" w:space="0" w:color="auto"/>
              <w:right w:val="single" w:sz="4" w:space="0" w:color="auto"/>
            </w:tcBorders>
          </w:tcPr>
          <w:p w14:paraId="5A01F919" w14:textId="77777777" w:rsidR="00E462D3" w:rsidRDefault="00E462D3" w:rsidP="003C7E5E">
            <w:pPr>
              <w:jc w:val="center"/>
              <w:rPr>
                <w:sz w:val="16"/>
                <w:szCs w:val="18"/>
              </w:rPr>
            </w:pPr>
          </w:p>
        </w:tc>
      </w:tr>
      <w:tr w:rsidR="00E462D3" w:rsidRPr="0053039C" w14:paraId="7A214780" w14:textId="77777777" w:rsidTr="003C7E5E">
        <w:trPr>
          <w:trHeight w:val="170"/>
        </w:trPr>
        <w:tc>
          <w:tcPr>
            <w:tcW w:w="835" w:type="dxa"/>
            <w:tcBorders>
              <w:right w:val="dashed" w:sz="4" w:space="0" w:color="auto"/>
            </w:tcBorders>
          </w:tcPr>
          <w:p w14:paraId="5216FB24" w14:textId="77777777" w:rsidR="00E462D3" w:rsidRPr="0053039C" w:rsidRDefault="00E462D3" w:rsidP="003C7E5E">
            <w:pPr>
              <w:rPr>
                <w:sz w:val="2"/>
                <w:szCs w:val="2"/>
              </w:rPr>
            </w:pPr>
          </w:p>
        </w:tc>
        <w:tc>
          <w:tcPr>
            <w:tcW w:w="877" w:type="dxa"/>
            <w:tcBorders>
              <w:top w:val="dashed" w:sz="4" w:space="0" w:color="auto"/>
              <w:left w:val="dashed" w:sz="4" w:space="0" w:color="auto"/>
            </w:tcBorders>
          </w:tcPr>
          <w:p w14:paraId="56AD7CE7" w14:textId="77777777" w:rsidR="00E462D3" w:rsidRPr="0053039C" w:rsidRDefault="00E462D3" w:rsidP="003C7E5E">
            <w:pPr>
              <w:rPr>
                <w:sz w:val="2"/>
                <w:szCs w:val="2"/>
              </w:rPr>
            </w:pPr>
          </w:p>
        </w:tc>
        <w:tc>
          <w:tcPr>
            <w:tcW w:w="273" w:type="dxa"/>
            <w:tcBorders>
              <w:top w:val="dashed" w:sz="4" w:space="0" w:color="auto"/>
              <w:right w:val="single" w:sz="4" w:space="0" w:color="auto"/>
            </w:tcBorders>
          </w:tcPr>
          <w:p w14:paraId="589D882D" w14:textId="77777777" w:rsidR="00E462D3" w:rsidRPr="0053039C" w:rsidRDefault="00E462D3" w:rsidP="003C7E5E">
            <w:pPr>
              <w:rPr>
                <w:sz w:val="2"/>
                <w:szCs w:val="2"/>
              </w:rPr>
            </w:pPr>
          </w:p>
        </w:tc>
        <w:tc>
          <w:tcPr>
            <w:tcW w:w="1925" w:type="dxa"/>
            <w:gridSpan w:val="2"/>
            <w:vMerge/>
            <w:tcBorders>
              <w:left w:val="single" w:sz="4" w:space="0" w:color="auto"/>
              <w:bottom w:val="single" w:sz="4" w:space="0" w:color="auto"/>
              <w:right w:val="single" w:sz="4" w:space="0" w:color="auto"/>
            </w:tcBorders>
          </w:tcPr>
          <w:p w14:paraId="2E7E1385" w14:textId="77777777" w:rsidR="00E462D3" w:rsidRPr="0053039C" w:rsidRDefault="00E462D3" w:rsidP="003C7E5E">
            <w:pPr>
              <w:rPr>
                <w:sz w:val="2"/>
                <w:szCs w:val="2"/>
              </w:rPr>
            </w:pPr>
          </w:p>
        </w:tc>
        <w:tc>
          <w:tcPr>
            <w:tcW w:w="737" w:type="dxa"/>
            <w:tcBorders>
              <w:top w:val="single" w:sz="4" w:space="0" w:color="auto"/>
              <w:left w:val="single" w:sz="4" w:space="0" w:color="auto"/>
            </w:tcBorders>
          </w:tcPr>
          <w:p w14:paraId="35BFA1BF" w14:textId="77777777" w:rsidR="00E462D3" w:rsidRPr="0053039C" w:rsidRDefault="00E462D3" w:rsidP="003C7E5E">
            <w:pPr>
              <w:rPr>
                <w:sz w:val="2"/>
                <w:szCs w:val="2"/>
              </w:rPr>
            </w:pPr>
          </w:p>
        </w:tc>
        <w:tc>
          <w:tcPr>
            <w:tcW w:w="315" w:type="dxa"/>
            <w:tcBorders>
              <w:top w:val="single" w:sz="4" w:space="0" w:color="auto"/>
              <w:right w:val="single" w:sz="4" w:space="0" w:color="auto"/>
            </w:tcBorders>
          </w:tcPr>
          <w:p w14:paraId="13ACDA5B" w14:textId="77777777" w:rsidR="00E462D3" w:rsidRPr="0053039C" w:rsidRDefault="00E462D3" w:rsidP="003C7E5E">
            <w:pPr>
              <w:rPr>
                <w:sz w:val="2"/>
                <w:szCs w:val="2"/>
              </w:rPr>
            </w:pPr>
          </w:p>
        </w:tc>
        <w:tc>
          <w:tcPr>
            <w:tcW w:w="1310" w:type="dxa"/>
            <w:gridSpan w:val="2"/>
            <w:tcBorders>
              <w:left w:val="single" w:sz="4" w:space="0" w:color="auto"/>
              <w:right w:val="single" w:sz="4" w:space="0" w:color="auto"/>
            </w:tcBorders>
          </w:tcPr>
          <w:p w14:paraId="694190D9" w14:textId="77777777" w:rsidR="00E462D3" w:rsidRPr="0053039C" w:rsidRDefault="00E462D3" w:rsidP="003C7E5E">
            <w:pPr>
              <w:rPr>
                <w:sz w:val="2"/>
                <w:szCs w:val="2"/>
              </w:rPr>
            </w:pPr>
          </w:p>
        </w:tc>
        <w:tc>
          <w:tcPr>
            <w:tcW w:w="945" w:type="dxa"/>
            <w:gridSpan w:val="2"/>
            <w:tcBorders>
              <w:left w:val="single" w:sz="4" w:space="0" w:color="auto"/>
            </w:tcBorders>
          </w:tcPr>
          <w:p w14:paraId="135ED317" w14:textId="77777777" w:rsidR="00E462D3" w:rsidRPr="0053039C" w:rsidRDefault="00E462D3" w:rsidP="003C7E5E">
            <w:pPr>
              <w:rPr>
                <w:sz w:val="2"/>
                <w:szCs w:val="2"/>
              </w:rPr>
            </w:pPr>
          </w:p>
        </w:tc>
        <w:tc>
          <w:tcPr>
            <w:tcW w:w="1270" w:type="dxa"/>
            <w:gridSpan w:val="2"/>
          </w:tcPr>
          <w:p w14:paraId="37D4CF4E" w14:textId="77777777" w:rsidR="00E462D3" w:rsidRPr="0053039C" w:rsidRDefault="00E462D3" w:rsidP="003C7E5E">
            <w:pPr>
              <w:jc w:val="center"/>
              <w:rPr>
                <w:sz w:val="2"/>
                <w:szCs w:val="2"/>
              </w:rPr>
            </w:pPr>
          </w:p>
        </w:tc>
        <w:tc>
          <w:tcPr>
            <w:tcW w:w="1799" w:type="dxa"/>
            <w:gridSpan w:val="2"/>
          </w:tcPr>
          <w:p w14:paraId="7A21B4C8" w14:textId="77777777" w:rsidR="00E462D3" w:rsidRPr="0053039C" w:rsidRDefault="00E462D3" w:rsidP="003C7E5E">
            <w:pPr>
              <w:jc w:val="center"/>
              <w:rPr>
                <w:sz w:val="2"/>
                <w:szCs w:val="2"/>
              </w:rPr>
            </w:pPr>
          </w:p>
        </w:tc>
      </w:tr>
      <w:tr w:rsidR="00E462D3" w14:paraId="4E162120" w14:textId="77777777" w:rsidTr="003C7E5E">
        <w:trPr>
          <w:gridAfter w:val="1"/>
          <w:wAfter w:w="944" w:type="dxa"/>
        </w:trPr>
        <w:tc>
          <w:tcPr>
            <w:tcW w:w="1985" w:type="dxa"/>
            <w:gridSpan w:val="3"/>
          </w:tcPr>
          <w:p w14:paraId="69C0FA99" w14:textId="77777777" w:rsidR="00E462D3" w:rsidRDefault="00E462D3" w:rsidP="003C7E5E">
            <w:pPr>
              <w:jc w:val="center"/>
              <w:rPr>
                <w:sz w:val="16"/>
                <w:szCs w:val="18"/>
              </w:rPr>
            </w:pPr>
            <w:r>
              <w:rPr>
                <w:sz w:val="16"/>
                <w:szCs w:val="18"/>
              </w:rPr>
              <w:t>Are the conditions and the confounding factors understood (positive &amp; negative)?</w:t>
            </w:r>
          </w:p>
        </w:tc>
        <w:tc>
          <w:tcPr>
            <w:tcW w:w="976" w:type="dxa"/>
            <w:tcBorders>
              <w:top w:val="single" w:sz="4" w:space="0" w:color="auto"/>
            </w:tcBorders>
          </w:tcPr>
          <w:p w14:paraId="2B5ABE96" w14:textId="77777777" w:rsidR="00E462D3" w:rsidRDefault="00E462D3" w:rsidP="003C7E5E">
            <w:pPr>
              <w:rPr>
                <w:sz w:val="16"/>
                <w:szCs w:val="18"/>
              </w:rPr>
            </w:pPr>
          </w:p>
        </w:tc>
        <w:tc>
          <w:tcPr>
            <w:tcW w:w="949" w:type="dxa"/>
            <w:tcBorders>
              <w:top w:val="single" w:sz="4" w:space="0" w:color="auto"/>
            </w:tcBorders>
          </w:tcPr>
          <w:p w14:paraId="534E55C2" w14:textId="77777777" w:rsidR="00E462D3" w:rsidRDefault="00E462D3" w:rsidP="003C7E5E">
            <w:pPr>
              <w:rPr>
                <w:sz w:val="16"/>
                <w:szCs w:val="18"/>
              </w:rPr>
            </w:pPr>
          </w:p>
        </w:tc>
        <w:tc>
          <w:tcPr>
            <w:tcW w:w="1800" w:type="dxa"/>
            <w:gridSpan w:val="3"/>
          </w:tcPr>
          <w:p w14:paraId="7F3CE870" w14:textId="77777777" w:rsidR="00E462D3" w:rsidRDefault="00E462D3" w:rsidP="003C7E5E">
            <w:pPr>
              <w:jc w:val="center"/>
              <w:rPr>
                <w:sz w:val="16"/>
                <w:szCs w:val="18"/>
              </w:rPr>
            </w:pPr>
            <w:r>
              <w:rPr>
                <w:sz w:val="16"/>
                <w:szCs w:val="18"/>
              </w:rPr>
              <w:t>Identify the conditions &amp; confounders which affect the outcome</w:t>
            </w:r>
          </w:p>
        </w:tc>
        <w:tc>
          <w:tcPr>
            <w:tcW w:w="562" w:type="dxa"/>
            <w:tcBorders>
              <w:right w:val="single" w:sz="4" w:space="0" w:color="auto"/>
            </w:tcBorders>
          </w:tcPr>
          <w:p w14:paraId="5EADFF48" w14:textId="77777777" w:rsidR="00E462D3" w:rsidRDefault="00E462D3" w:rsidP="003C7E5E">
            <w:pPr>
              <w:jc w:val="center"/>
              <w:rPr>
                <w:sz w:val="16"/>
                <w:szCs w:val="18"/>
              </w:rPr>
            </w:pPr>
          </w:p>
        </w:tc>
        <w:tc>
          <w:tcPr>
            <w:tcW w:w="295" w:type="dxa"/>
            <w:tcBorders>
              <w:left w:val="single" w:sz="4" w:space="0" w:color="auto"/>
            </w:tcBorders>
          </w:tcPr>
          <w:p w14:paraId="54274AE4" w14:textId="77777777" w:rsidR="00E462D3" w:rsidRDefault="00E462D3" w:rsidP="003C7E5E">
            <w:pPr>
              <w:rPr>
                <w:sz w:val="16"/>
                <w:szCs w:val="18"/>
              </w:rPr>
            </w:pPr>
          </w:p>
        </w:tc>
        <w:tc>
          <w:tcPr>
            <w:tcW w:w="1583" w:type="dxa"/>
            <w:gridSpan w:val="2"/>
            <w:tcBorders>
              <w:bottom w:val="single" w:sz="4" w:space="0" w:color="auto"/>
            </w:tcBorders>
          </w:tcPr>
          <w:p w14:paraId="0270EF96" w14:textId="77777777" w:rsidR="00E462D3" w:rsidRDefault="00E462D3" w:rsidP="003C7E5E">
            <w:pPr>
              <w:jc w:val="center"/>
              <w:rPr>
                <w:sz w:val="16"/>
                <w:szCs w:val="18"/>
              </w:rPr>
            </w:pPr>
          </w:p>
        </w:tc>
        <w:tc>
          <w:tcPr>
            <w:tcW w:w="1192" w:type="dxa"/>
            <w:gridSpan w:val="2"/>
            <w:tcBorders>
              <w:bottom w:val="single" w:sz="4" w:space="0" w:color="auto"/>
            </w:tcBorders>
          </w:tcPr>
          <w:p w14:paraId="41A41067" w14:textId="77777777" w:rsidR="00E462D3" w:rsidRDefault="00E462D3" w:rsidP="003C7E5E">
            <w:pPr>
              <w:jc w:val="center"/>
              <w:rPr>
                <w:sz w:val="16"/>
                <w:szCs w:val="18"/>
              </w:rPr>
            </w:pPr>
          </w:p>
        </w:tc>
      </w:tr>
      <w:tr w:rsidR="00E462D3" w14:paraId="06F44E56" w14:textId="77777777" w:rsidTr="003C7E5E">
        <w:trPr>
          <w:gridAfter w:val="1"/>
          <w:wAfter w:w="944" w:type="dxa"/>
          <w:trHeight w:val="311"/>
        </w:trPr>
        <w:tc>
          <w:tcPr>
            <w:tcW w:w="835" w:type="dxa"/>
            <w:tcBorders>
              <w:right w:val="dashed" w:sz="4" w:space="0" w:color="auto"/>
            </w:tcBorders>
          </w:tcPr>
          <w:p w14:paraId="4201B413" w14:textId="77777777" w:rsidR="00E462D3" w:rsidRDefault="00E462D3" w:rsidP="003C7E5E">
            <w:pPr>
              <w:rPr>
                <w:sz w:val="16"/>
                <w:szCs w:val="18"/>
              </w:rPr>
            </w:pPr>
          </w:p>
        </w:tc>
        <w:tc>
          <w:tcPr>
            <w:tcW w:w="877" w:type="dxa"/>
            <w:tcBorders>
              <w:left w:val="dashed" w:sz="4" w:space="0" w:color="auto"/>
              <w:bottom w:val="dashed" w:sz="4" w:space="0" w:color="auto"/>
            </w:tcBorders>
          </w:tcPr>
          <w:p w14:paraId="56660282" w14:textId="77777777" w:rsidR="00E462D3" w:rsidRDefault="00E462D3" w:rsidP="003C7E5E">
            <w:pPr>
              <w:rPr>
                <w:sz w:val="16"/>
                <w:szCs w:val="18"/>
              </w:rPr>
            </w:pPr>
          </w:p>
        </w:tc>
        <w:tc>
          <w:tcPr>
            <w:tcW w:w="273" w:type="dxa"/>
            <w:tcBorders>
              <w:bottom w:val="dashed" w:sz="4" w:space="0" w:color="auto"/>
              <w:right w:val="single" w:sz="4" w:space="0" w:color="auto"/>
            </w:tcBorders>
          </w:tcPr>
          <w:p w14:paraId="227B2B9E" w14:textId="77777777" w:rsidR="00E462D3" w:rsidRDefault="00E462D3" w:rsidP="003C7E5E">
            <w:pPr>
              <w:rPr>
                <w:sz w:val="16"/>
                <w:szCs w:val="18"/>
              </w:rPr>
            </w:pPr>
          </w:p>
        </w:tc>
        <w:tc>
          <w:tcPr>
            <w:tcW w:w="1925" w:type="dxa"/>
            <w:gridSpan w:val="2"/>
            <w:vMerge w:val="restart"/>
            <w:tcBorders>
              <w:top w:val="single" w:sz="4" w:space="0" w:color="auto"/>
              <w:left w:val="single" w:sz="4" w:space="0" w:color="auto"/>
              <w:right w:val="single" w:sz="4" w:space="0" w:color="auto"/>
            </w:tcBorders>
            <w:vAlign w:val="center"/>
          </w:tcPr>
          <w:p w14:paraId="6A44FF92" w14:textId="77777777" w:rsidR="00E462D3" w:rsidRDefault="00E462D3" w:rsidP="003C7E5E">
            <w:pPr>
              <w:spacing w:after="0"/>
              <w:jc w:val="center"/>
              <w:rPr>
                <w:sz w:val="16"/>
                <w:szCs w:val="18"/>
              </w:rPr>
            </w:pPr>
            <w:r>
              <w:rPr>
                <w:sz w:val="16"/>
                <w:szCs w:val="18"/>
              </w:rPr>
              <w:t>Causal discovery</w:t>
            </w:r>
          </w:p>
          <w:p w14:paraId="740D8690" w14:textId="77777777" w:rsidR="00E462D3" w:rsidRDefault="00E462D3" w:rsidP="003C7E5E">
            <w:pPr>
              <w:spacing w:after="0"/>
              <w:jc w:val="center"/>
              <w:rPr>
                <w:sz w:val="16"/>
                <w:szCs w:val="18"/>
              </w:rPr>
            </w:pPr>
            <w:r>
              <w:rPr>
                <w:sz w:val="16"/>
                <w:szCs w:val="18"/>
              </w:rPr>
              <w:t>(understanding or predicting difference in outcomes (qual &amp; quant methods))</w:t>
            </w:r>
          </w:p>
        </w:tc>
        <w:tc>
          <w:tcPr>
            <w:tcW w:w="737" w:type="dxa"/>
            <w:tcBorders>
              <w:left w:val="single" w:sz="4" w:space="0" w:color="auto"/>
              <w:bottom w:val="single" w:sz="4" w:space="0" w:color="auto"/>
            </w:tcBorders>
          </w:tcPr>
          <w:p w14:paraId="45F02C30" w14:textId="77777777" w:rsidR="00E462D3" w:rsidRDefault="00E462D3" w:rsidP="003C7E5E">
            <w:pPr>
              <w:rPr>
                <w:sz w:val="16"/>
                <w:szCs w:val="18"/>
              </w:rPr>
            </w:pPr>
          </w:p>
        </w:tc>
        <w:tc>
          <w:tcPr>
            <w:tcW w:w="315" w:type="dxa"/>
            <w:tcBorders>
              <w:bottom w:val="single" w:sz="4" w:space="0" w:color="auto"/>
              <w:right w:val="single" w:sz="4" w:space="0" w:color="auto"/>
            </w:tcBorders>
          </w:tcPr>
          <w:p w14:paraId="29DBFA3E" w14:textId="77777777" w:rsidR="00E462D3" w:rsidRDefault="00E462D3" w:rsidP="003C7E5E">
            <w:pPr>
              <w:rPr>
                <w:sz w:val="16"/>
                <w:szCs w:val="18"/>
              </w:rPr>
            </w:pPr>
          </w:p>
        </w:tc>
        <w:tc>
          <w:tcPr>
            <w:tcW w:w="1310" w:type="dxa"/>
            <w:gridSpan w:val="2"/>
            <w:tcBorders>
              <w:left w:val="single" w:sz="4" w:space="0" w:color="auto"/>
              <w:right w:val="single" w:sz="4" w:space="0" w:color="auto"/>
            </w:tcBorders>
          </w:tcPr>
          <w:p w14:paraId="771BD6F7" w14:textId="77777777" w:rsidR="00E462D3" w:rsidRDefault="00E462D3" w:rsidP="003C7E5E">
            <w:pPr>
              <w:rPr>
                <w:sz w:val="16"/>
                <w:szCs w:val="18"/>
              </w:rPr>
            </w:pPr>
          </w:p>
        </w:tc>
        <w:tc>
          <w:tcPr>
            <w:tcW w:w="295" w:type="dxa"/>
            <w:tcBorders>
              <w:left w:val="single" w:sz="4" w:space="0" w:color="auto"/>
              <w:bottom w:val="single" w:sz="4" w:space="0" w:color="auto"/>
              <w:right w:val="single" w:sz="4" w:space="0" w:color="auto"/>
            </w:tcBorders>
          </w:tcPr>
          <w:p w14:paraId="0212B5A6" w14:textId="77777777" w:rsidR="00E462D3" w:rsidRDefault="00E462D3" w:rsidP="003C7E5E">
            <w:pPr>
              <w:rPr>
                <w:sz w:val="16"/>
                <w:szCs w:val="18"/>
              </w:rPr>
            </w:pPr>
          </w:p>
        </w:tc>
        <w:tc>
          <w:tcPr>
            <w:tcW w:w="2775" w:type="dxa"/>
            <w:gridSpan w:val="4"/>
            <w:vMerge w:val="restart"/>
            <w:tcBorders>
              <w:left w:val="single" w:sz="4" w:space="0" w:color="auto"/>
              <w:right w:val="single" w:sz="4" w:space="0" w:color="auto"/>
            </w:tcBorders>
          </w:tcPr>
          <w:p w14:paraId="22CF54C8" w14:textId="77777777" w:rsidR="00E462D3" w:rsidRDefault="00E462D3" w:rsidP="003C7E5E">
            <w:pPr>
              <w:jc w:val="center"/>
              <w:rPr>
                <w:sz w:val="16"/>
                <w:szCs w:val="18"/>
              </w:rPr>
            </w:pPr>
            <w:r w:rsidRPr="00E73F6C">
              <w:rPr>
                <w:sz w:val="16"/>
                <w:szCs w:val="18"/>
              </w:rPr>
              <w:t>Understanding of how intervention factors/variables influence each other</w:t>
            </w:r>
          </w:p>
        </w:tc>
      </w:tr>
      <w:tr w:rsidR="00E462D3" w14:paraId="4FC62EE0" w14:textId="77777777" w:rsidTr="003C7E5E">
        <w:trPr>
          <w:gridAfter w:val="1"/>
          <w:wAfter w:w="944" w:type="dxa"/>
        </w:trPr>
        <w:tc>
          <w:tcPr>
            <w:tcW w:w="835" w:type="dxa"/>
          </w:tcPr>
          <w:p w14:paraId="656DDCE8" w14:textId="77777777" w:rsidR="00E462D3" w:rsidRDefault="00E462D3" w:rsidP="003C7E5E">
            <w:pPr>
              <w:rPr>
                <w:sz w:val="16"/>
                <w:szCs w:val="18"/>
              </w:rPr>
            </w:pPr>
          </w:p>
        </w:tc>
        <w:tc>
          <w:tcPr>
            <w:tcW w:w="877" w:type="dxa"/>
            <w:tcBorders>
              <w:top w:val="dashed" w:sz="4" w:space="0" w:color="auto"/>
            </w:tcBorders>
          </w:tcPr>
          <w:p w14:paraId="42C09BCE" w14:textId="77777777" w:rsidR="00E462D3" w:rsidRDefault="00E462D3" w:rsidP="003C7E5E">
            <w:pPr>
              <w:rPr>
                <w:sz w:val="16"/>
                <w:szCs w:val="18"/>
              </w:rPr>
            </w:pPr>
          </w:p>
        </w:tc>
        <w:tc>
          <w:tcPr>
            <w:tcW w:w="273" w:type="dxa"/>
            <w:tcBorders>
              <w:top w:val="dashed" w:sz="4" w:space="0" w:color="auto"/>
              <w:right w:val="single" w:sz="4" w:space="0" w:color="auto"/>
            </w:tcBorders>
          </w:tcPr>
          <w:p w14:paraId="7225FA69" w14:textId="77777777" w:rsidR="00E462D3" w:rsidRDefault="00E462D3" w:rsidP="003C7E5E">
            <w:pPr>
              <w:rPr>
                <w:sz w:val="16"/>
                <w:szCs w:val="18"/>
              </w:rPr>
            </w:pPr>
          </w:p>
        </w:tc>
        <w:tc>
          <w:tcPr>
            <w:tcW w:w="1925" w:type="dxa"/>
            <w:gridSpan w:val="2"/>
            <w:vMerge/>
            <w:tcBorders>
              <w:left w:val="single" w:sz="4" w:space="0" w:color="auto"/>
              <w:right w:val="single" w:sz="4" w:space="0" w:color="auto"/>
            </w:tcBorders>
          </w:tcPr>
          <w:p w14:paraId="36048069" w14:textId="77777777" w:rsidR="00E462D3" w:rsidRDefault="00E462D3" w:rsidP="003C7E5E">
            <w:pPr>
              <w:rPr>
                <w:sz w:val="16"/>
                <w:szCs w:val="18"/>
              </w:rPr>
            </w:pPr>
          </w:p>
        </w:tc>
        <w:tc>
          <w:tcPr>
            <w:tcW w:w="737" w:type="dxa"/>
            <w:tcBorders>
              <w:left w:val="single" w:sz="4" w:space="0" w:color="auto"/>
              <w:bottom w:val="single" w:sz="4" w:space="0" w:color="auto"/>
            </w:tcBorders>
          </w:tcPr>
          <w:p w14:paraId="65BF1622" w14:textId="77777777" w:rsidR="00E462D3" w:rsidRDefault="00E462D3" w:rsidP="003C7E5E">
            <w:pPr>
              <w:rPr>
                <w:sz w:val="16"/>
                <w:szCs w:val="18"/>
              </w:rPr>
            </w:pPr>
          </w:p>
        </w:tc>
        <w:tc>
          <w:tcPr>
            <w:tcW w:w="315" w:type="dxa"/>
            <w:tcBorders>
              <w:top w:val="single" w:sz="4" w:space="0" w:color="auto"/>
              <w:bottom w:val="single" w:sz="4" w:space="0" w:color="auto"/>
            </w:tcBorders>
          </w:tcPr>
          <w:p w14:paraId="6EC0F5F5" w14:textId="77777777" w:rsidR="00E462D3" w:rsidRDefault="00E462D3" w:rsidP="003C7E5E">
            <w:pPr>
              <w:rPr>
                <w:sz w:val="16"/>
                <w:szCs w:val="18"/>
              </w:rPr>
            </w:pPr>
          </w:p>
        </w:tc>
        <w:tc>
          <w:tcPr>
            <w:tcW w:w="1310" w:type="dxa"/>
            <w:gridSpan w:val="2"/>
            <w:tcBorders>
              <w:bottom w:val="single" w:sz="4" w:space="0" w:color="auto"/>
              <w:right w:val="single" w:sz="4" w:space="0" w:color="auto"/>
            </w:tcBorders>
          </w:tcPr>
          <w:p w14:paraId="7BA8AF83" w14:textId="77777777" w:rsidR="00E462D3" w:rsidRDefault="00E462D3" w:rsidP="003C7E5E">
            <w:pPr>
              <w:rPr>
                <w:sz w:val="16"/>
                <w:szCs w:val="18"/>
              </w:rPr>
            </w:pPr>
          </w:p>
        </w:tc>
        <w:tc>
          <w:tcPr>
            <w:tcW w:w="295" w:type="dxa"/>
            <w:tcBorders>
              <w:top w:val="single" w:sz="4" w:space="0" w:color="auto"/>
              <w:left w:val="single" w:sz="4" w:space="0" w:color="auto"/>
              <w:right w:val="single" w:sz="4" w:space="0" w:color="auto"/>
            </w:tcBorders>
          </w:tcPr>
          <w:p w14:paraId="11622A01" w14:textId="77777777" w:rsidR="00E462D3" w:rsidRDefault="00E462D3" w:rsidP="003C7E5E">
            <w:pPr>
              <w:rPr>
                <w:sz w:val="16"/>
                <w:szCs w:val="18"/>
              </w:rPr>
            </w:pPr>
          </w:p>
        </w:tc>
        <w:tc>
          <w:tcPr>
            <w:tcW w:w="2775" w:type="dxa"/>
            <w:gridSpan w:val="4"/>
            <w:vMerge/>
            <w:tcBorders>
              <w:left w:val="single" w:sz="4" w:space="0" w:color="auto"/>
              <w:bottom w:val="single" w:sz="4" w:space="0" w:color="auto"/>
              <w:right w:val="single" w:sz="4" w:space="0" w:color="auto"/>
            </w:tcBorders>
          </w:tcPr>
          <w:p w14:paraId="7DF2341D" w14:textId="77777777" w:rsidR="00E462D3" w:rsidRDefault="00E462D3" w:rsidP="003C7E5E">
            <w:pPr>
              <w:jc w:val="center"/>
              <w:rPr>
                <w:sz w:val="16"/>
                <w:szCs w:val="18"/>
              </w:rPr>
            </w:pPr>
          </w:p>
        </w:tc>
      </w:tr>
      <w:tr w:rsidR="00E462D3" w:rsidRPr="00E73F6C" w14:paraId="440FD3C8" w14:textId="77777777" w:rsidTr="003C7E5E">
        <w:trPr>
          <w:gridAfter w:val="1"/>
          <w:wAfter w:w="944" w:type="dxa"/>
        </w:trPr>
        <w:tc>
          <w:tcPr>
            <w:tcW w:w="835" w:type="dxa"/>
          </w:tcPr>
          <w:p w14:paraId="01012869" w14:textId="77777777" w:rsidR="00E462D3" w:rsidRPr="00E73F6C" w:rsidRDefault="00E462D3" w:rsidP="003C7E5E">
            <w:pPr>
              <w:rPr>
                <w:sz w:val="2"/>
                <w:szCs w:val="2"/>
              </w:rPr>
            </w:pPr>
          </w:p>
        </w:tc>
        <w:tc>
          <w:tcPr>
            <w:tcW w:w="877" w:type="dxa"/>
          </w:tcPr>
          <w:p w14:paraId="2478003D" w14:textId="77777777" w:rsidR="00E462D3" w:rsidRPr="00E73F6C" w:rsidRDefault="00E462D3" w:rsidP="003C7E5E">
            <w:pPr>
              <w:rPr>
                <w:sz w:val="2"/>
                <w:szCs w:val="2"/>
              </w:rPr>
            </w:pPr>
          </w:p>
        </w:tc>
        <w:tc>
          <w:tcPr>
            <w:tcW w:w="273" w:type="dxa"/>
            <w:tcBorders>
              <w:right w:val="single" w:sz="4" w:space="0" w:color="auto"/>
            </w:tcBorders>
          </w:tcPr>
          <w:p w14:paraId="2AADF190" w14:textId="77777777" w:rsidR="00E462D3" w:rsidRPr="00E73F6C" w:rsidRDefault="00E462D3" w:rsidP="003C7E5E">
            <w:pPr>
              <w:rPr>
                <w:sz w:val="2"/>
                <w:szCs w:val="2"/>
              </w:rPr>
            </w:pPr>
          </w:p>
        </w:tc>
        <w:tc>
          <w:tcPr>
            <w:tcW w:w="1925" w:type="dxa"/>
            <w:gridSpan w:val="2"/>
            <w:vMerge/>
            <w:tcBorders>
              <w:left w:val="single" w:sz="4" w:space="0" w:color="auto"/>
              <w:bottom w:val="single" w:sz="4" w:space="0" w:color="auto"/>
              <w:right w:val="single" w:sz="4" w:space="0" w:color="auto"/>
            </w:tcBorders>
          </w:tcPr>
          <w:p w14:paraId="6E18F8A4" w14:textId="77777777" w:rsidR="00E462D3" w:rsidRPr="00E73F6C" w:rsidRDefault="00E462D3" w:rsidP="003C7E5E">
            <w:pPr>
              <w:rPr>
                <w:sz w:val="2"/>
                <w:szCs w:val="2"/>
              </w:rPr>
            </w:pPr>
          </w:p>
        </w:tc>
        <w:tc>
          <w:tcPr>
            <w:tcW w:w="737" w:type="dxa"/>
            <w:tcBorders>
              <w:top w:val="single" w:sz="4" w:space="0" w:color="auto"/>
            </w:tcBorders>
          </w:tcPr>
          <w:p w14:paraId="4F078D2C" w14:textId="77777777" w:rsidR="00E462D3" w:rsidRPr="00E73F6C" w:rsidRDefault="00E462D3" w:rsidP="003C7E5E">
            <w:pPr>
              <w:rPr>
                <w:sz w:val="2"/>
                <w:szCs w:val="2"/>
              </w:rPr>
            </w:pPr>
          </w:p>
        </w:tc>
        <w:tc>
          <w:tcPr>
            <w:tcW w:w="315" w:type="dxa"/>
            <w:tcBorders>
              <w:top w:val="single" w:sz="4" w:space="0" w:color="auto"/>
            </w:tcBorders>
          </w:tcPr>
          <w:p w14:paraId="6FBFAE44" w14:textId="77777777" w:rsidR="00E462D3" w:rsidRPr="00E73F6C" w:rsidRDefault="00E462D3" w:rsidP="003C7E5E">
            <w:pPr>
              <w:rPr>
                <w:sz w:val="2"/>
                <w:szCs w:val="2"/>
              </w:rPr>
            </w:pPr>
          </w:p>
        </w:tc>
        <w:tc>
          <w:tcPr>
            <w:tcW w:w="1310" w:type="dxa"/>
            <w:gridSpan w:val="2"/>
            <w:tcBorders>
              <w:top w:val="single" w:sz="4" w:space="0" w:color="auto"/>
            </w:tcBorders>
          </w:tcPr>
          <w:p w14:paraId="278D6C61" w14:textId="77777777" w:rsidR="00E462D3" w:rsidRPr="00E73F6C" w:rsidRDefault="00E462D3" w:rsidP="003C7E5E">
            <w:pPr>
              <w:rPr>
                <w:sz w:val="2"/>
                <w:szCs w:val="2"/>
              </w:rPr>
            </w:pPr>
          </w:p>
        </w:tc>
        <w:tc>
          <w:tcPr>
            <w:tcW w:w="295" w:type="dxa"/>
          </w:tcPr>
          <w:p w14:paraId="77837A82" w14:textId="77777777" w:rsidR="00E462D3" w:rsidRPr="00E73F6C" w:rsidRDefault="00E462D3" w:rsidP="003C7E5E">
            <w:pPr>
              <w:rPr>
                <w:sz w:val="2"/>
                <w:szCs w:val="2"/>
              </w:rPr>
            </w:pPr>
          </w:p>
        </w:tc>
        <w:tc>
          <w:tcPr>
            <w:tcW w:w="1583" w:type="dxa"/>
            <w:gridSpan w:val="2"/>
          </w:tcPr>
          <w:p w14:paraId="09FFD30D" w14:textId="77777777" w:rsidR="00E462D3" w:rsidRPr="00E73F6C" w:rsidRDefault="00E462D3" w:rsidP="003C7E5E">
            <w:pPr>
              <w:jc w:val="center"/>
              <w:rPr>
                <w:sz w:val="2"/>
                <w:szCs w:val="2"/>
              </w:rPr>
            </w:pPr>
          </w:p>
        </w:tc>
        <w:tc>
          <w:tcPr>
            <w:tcW w:w="1192" w:type="dxa"/>
            <w:gridSpan w:val="2"/>
          </w:tcPr>
          <w:p w14:paraId="36505D16" w14:textId="77777777" w:rsidR="00E462D3" w:rsidRPr="00E73F6C" w:rsidRDefault="00E462D3" w:rsidP="003C7E5E">
            <w:pPr>
              <w:jc w:val="center"/>
              <w:rPr>
                <w:sz w:val="2"/>
                <w:szCs w:val="2"/>
              </w:rPr>
            </w:pPr>
          </w:p>
        </w:tc>
      </w:tr>
      <w:tr w:rsidR="00E462D3" w:rsidRPr="000D5BFA" w14:paraId="5A3C10C2" w14:textId="77777777" w:rsidTr="003C7E5E">
        <w:trPr>
          <w:gridAfter w:val="1"/>
          <w:wAfter w:w="944" w:type="dxa"/>
        </w:trPr>
        <w:tc>
          <w:tcPr>
            <w:tcW w:w="835" w:type="dxa"/>
          </w:tcPr>
          <w:p w14:paraId="2E3C81BD" w14:textId="77777777" w:rsidR="00E462D3" w:rsidRPr="000D5BFA" w:rsidRDefault="00E462D3" w:rsidP="003C7E5E">
            <w:pPr>
              <w:rPr>
                <w:sz w:val="2"/>
                <w:szCs w:val="2"/>
              </w:rPr>
            </w:pPr>
          </w:p>
        </w:tc>
        <w:tc>
          <w:tcPr>
            <w:tcW w:w="877" w:type="dxa"/>
          </w:tcPr>
          <w:p w14:paraId="624A0095" w14:textId="77777777" w:rsidR="00E462D3" w:rsidRPr="000D5BFA" w:rsidRDefault="00E462D3" w:rsidP="003C7E5E">
            <w:pPr>
              <w:rPr>
                <w:sz w:val="2"/>
                <w:szCs w:val="2"/>
              </w:rPr>
            </w:pPr>
          </w:p>
        </w:tc>
        <w:tc>
          <w:tcPr>
            <w:tcW w:w="273" w:type="dxa"/>
          </w:tcPr>
          <w:p w14:paraId="4C053490" w14:textId="77777777" w:rsidR="00E462D3" w:rsidRPr="000D5BFA" w:rsidRDefault="00E462D3" w:rsidP="003C7E5E">
            <w:pPr>
              <w:rPr>
                <w:sz w:val="2"/>
                <w:szCs w:val="2"/>
              </w:rPr>
            </w:pPr>
          </w:p>
        </w:tc>
        <w:tc>
          <w:tcPr>
            <w:tcW w:w="976" w:type="dxa"/>
            <w:tcBorders>
              <w:right w:val="single" w:sz="4" w:space="0" w:color="auto"/>
            </w:tcBorders>
          </w:tcPr>
          <w:p w14:paraId="7EBE4962" w14:textId="77777777" w:rsidR="00E462D3" w:rsidRPr="000D5BFA" w:rsidRDefault="00E462D3" w:rsidP="003C7E5E">
            <w:pPr>
              <w:rPr>
                <w:sz w:val="2"/>
                <w:szCs w:val="2"/>
              </w:rPr>
            </w:pPr>
          </w:p>
        </w:tc>
        <w:tc>
          <w:tcPr>
            <w:tcW w:w="949" w:type="dxa"/>
            <w:tcBorders>
              <w:left w:val="single" w:sz="4" w:space="0" w:color="auto"/>
            </w:tcBorders>
          </w:tcPr>
          <w:p w14:paraId="651222F8" w14:textId="77777777" w:rsidR="00E462D3" w:rsidRPr="000D5BFA" w:rsidRDefault="00E462D3" w:rsidP="003C7E5E">
            <w:pPr>
              <w:rPr>
                <w:sz w:val="2"/>
                <w:szCs w:val="2"/>
              </w:rPr>
            </w:pPr>
          </w:p>
        </w:tc>
        <w:tc>
          <w:tcPr>
            <w:tcW w:w="737" w:type="dxa"/>
          </w:tcPr>
          <w:p w14:paraId="03D4735E" w14:textId="77777777" w:rsidR="00E462D3" w:rsidRPr="000D5BFA" w:rsidRDefault="00E462D3" w:rsidP="003C7E5E">
            <w:pPr>
              <w:rPr>
                <w:sz w:val="2"/>
                <w:szCs w:val="2"/>
              </w:rPr>
            </w:pPr>
          </w:p>
        </w:tc>
        <w:tc>
          <w:tcPr>
            <w:tcW w:w="315" w:type="dxa"/>
          </w:tcPr>
          <w:p w14:paraId="085A8683" w14:textId="77777777" w:rsidR="00E462D3" w:rsidRPr="000D5BFA" w:rsidRDefault="00E462D3" w:rsidP="003C7E5E">
            <w:pPr>
              <w:rPr>
                <w:sz w:val="2"/>
                <w:szCs w:val="2"/>
              </w:rPr>
            </w:pPr>
          </w:p>
        </w:tc>
        <w:tc>
          <w:tcPr>
            <w:tcW w:w="1310" w:type="dxa"/>
            <w:gridSpan w:val="2"/>
          </w:tcPr>
          <w:p w14:paraId="13E70D42" w14:textId="77777777" w:rsidR="00E462D3" w:rsidRPr="000D5BFA" w:rsidRDefault="00E462D3" w:rsidP="003C7E5E">
            <w:pPr>
              <w:rPr>
                <w:sz w:val="2"/>
                <w:szCs w:val="2"/>
              </w:rPr>
            </w:pPr>
          </w:p>
        </w:tc>
        <w:tc>
          <w:tcPr>
            <w:tcW w:w="295" w:type="dxa"/>
          </w:tcPr>
          <w:p w14:paraId="21F46343" w14:textId="77777777" w:rsidR="00E462D3" w:rsidRPr="000D5BFA" w:rsidRDefault="00E462D3" w:rsidP="003C7E5E">
            <w:pPr>
              <w:rPr>
                <w:sz w:val="2"/>
                <w:szCs w:val="2"/>
              </w:rPr>
            </w:pPr>
          </w:p>
        </w:tc>
        <w:tc>
          <w:tcPr>
            <w:tcW w:w="1583" w:type="dxa"/>
            <w:gridSpan w:val="2"/>
            <w:tcBorders>
              <w:bottom w:val="single" w:sz="4" w:space="0" w:color="auto"/>
            </w:tcBorders>
          </w:tcPr>
          <w:p w14:paraId="3790C35A" w14:textId="77777777" w:rsidR="00E462D3" w:rsidRPr="000D5BFA" w:rsidRDefault="00E462D3" w:rsidP="003C7E5E">
            <w:pPr>
              <w:jc w:val="center"/>
              <w:rPr>
                <w:sz w:val="2"/>
                <w:szCs w:val="2"/>
              </w:rPr>
            </w:pPr>
          </w:p>
        </w:tc>
        <w:tc>
          <w:tcPr>
            <w:tcW w:w="1192" w:type="dxa"/>
            <w:gridSpan w:val="2"/>
            <w:tcBorders>
              <w:bottom w:val="single" w:sz="4" w:space="0" w:color="auto"/>
            </w:tcBorders>
          </w:tcPr>
          <w:p w14:paraId="47A32E82" w14:textId="77777777" w:rsidR="00E462D3" w:rsidRPr="000D5BFA" w:rsidRDefault="00E462D3" w:rsidP="003C7E5E">
            <w:pPr>
              <w:jc w:val="center"/>
              <w:rPr>
                <w:sz w:val="2"/>
                <w:szCs w:val="2"/>
              </w:rPr>
            </w:pPr>
          </w:p>
        </w:tc>
      </w:tr>
      <w:tr w:rsidR="00E462D3" w14:paraId="52746AB2" w14:textId="77777777" w:rsidTr="003C7E5E">
        <w:trPr>
          <w:gridAfter w:val="1"/>
          <w:wAfter w:w="944" w:type="dxa"/>
        </w:trPr>
        <w:tc>
          <w:tcPr>
            <w:tcW w:w="3910" w:type="dxa"/>
            <w:gridSpan w:val="5"/>
          </w:tcPr>
          <w:p w14:paraId="4D5BD305" w14:textId="77777777" w:rsidR="00E462D3" w:rsidRDefault="00E462D3" w:rsidP="003C7E5E">
            <w:pPr>
              <w:jc w:val="right"/>
              <w:rPr>
                <w:sz w:val="16"/>
                <w:szCs w:val="18"/>
              </w:rPr>
            </w:pPr>
            <w:r>
              <w:rPr>
                <w:sz w:val="16"/>
                <w:szCs w:val="18"/>
              </w:rPr>
              <w:t>Is experimentation possible?</w:t>
            </w:r>
          </w:p>
        </w:tc>
        <w:tc>
          <w:tcPr>
            <w:tcW w:w="737" w:type="dxa"/>
          </w:tcPr>
          <w:p w14:paraId="56BB39E9" w14:textId="77777777" w:rsidR="00E462D3" w:rsidRDefault="00E462D3" w:rsidP="003C7E5E">
            <w:pPr>
              <w:rPr>
                <w:sz w:val="16"/>
                <w:szCs w:val="18"/>
              </w:rPr>
            </w:pPr>
          </w:p>
        </w:tc>
        <w:tc>
          <w:tcPr>
            <w:tcW w:w="315" w:type="dxa"/>
          </w:tcPr>
          <w:p w14:paraId="67A98A57" w14:textId="77777777" w:rsidR="00E462D3" w:rsidRDefault="00E462D3" w:rsidP="003C7E5E">
            <w:pPr>
              <w:rPr>
                <w:sz w:val="16"/>
                <w:szCs w:val="18"/>
              </w:rPr>
            </w:pPr>
          </w:p>
        </w:tc>
        <w:tc>
          <w:tcPr>
            <w:tcW w:w="1310" w:type="dxa"/>
            <w:gridSpan w:val="2"/>
          </w:tcPr>
          <w:p w14:paraId="6E2D1E9E" w14:textId="77777777" w:rsidR="00E462D3" w:rsidRDefault="00E462D3" w:rsidP="003C7E5E">
            <w:pPr>
              <w:rPr>
                <w:sz w:val="16"/>
                <w:szCs w:val="18"/>
              </w:rPr>
            </w:pPr>
          </w:p>
        </w:tc>
        <w:tc>
          <w:tcPr>
            <w:tcW w:w="295" w:type="dxa"/>
            <w:tcBorders>
              <w:bottom w:val="single" w:sz="4" w:space="0" w:color="auto"/>
              <w:right w:val="single" w:sz="4" w:space="0" w:color="auto"/>
            </w:tcBorders>
          </w:tcPr>
          <w:p w14:paraId="53FC8CA2" w14:textId="77777777" w:rsidR="00E462D3" w:rsidRDefault="00E462D3" w:rsidP="003C7E5E">
            <w:pPr>
              <w:rPr>
                <w:sz w:val="16"/>
                <w:szCs w:val="18"/>
              </w:rPr>
            </w:pPr>
          </w:p>
        </w:tc>
        <w:tc>
          <w:tcPr>
            <w:tcW w:w="2775" w:type="dxa"/>
            <w:gridSpan w:val="4"/>
            <w:vMerge w:val="restart"/>
            <w:tcBorders>
              <w:top w:val="single" w:sz="4" w:space="0" w:color="auto"/>
              <w:left w:val="single" w:sz="4" w:space="0" w:color="auto"/>
              <w:right w:val="single" w:sz="4" w:space="0" w:color="auto"/>
            </w:tcBorders>
          </w:tcPr>
          <w:p w14:paraId="1AABF8CC" w14:textId="77777777" w:rsidR="00E462D3" w:rsidRDefault="00E462D3" w:rsidP="003C7E5E">
            <w:pPr>
              <w:spacing w:before="120"/>
              <w:rPr>
                <w:sz w:val="16"/>
                <w:szCs w:val="18"/>
              </w:rPr>
            </w:pPr>
            <w:r>
              <w:rPr>
                <w:sz w:val="16"/>
                <w:szCs w:val="18"/>
              </w:rPr>
              <w:t>Understanding of how much of the outcome should be attributed to the intervention effect</w:t>
            </w:r>
          </w:p>
        </w:tc>
      </w:tr>
      <w:tr w:rsidR="00E462D3" w14:paraId="27B3DE1E" w14:textId="77777777" w:rsidTr="003C7E5E">
        <w:trPr>
          <w:gridAfter w:val="1"/>
          <w:wAfter w:w="944" w:type="dxa"/>
          <w:trHeight w:val="227"/>
        </w:trPr>
        <w:tc>
          <w:tcPr>
            <w:tcW w:w="1712" w:type="dxa"/>
            <w:gridSpan w:val="2"/>
          </w:tcPr>
          <w:p w14:paraId="572E1E88" w14:textId="77777777" w:rsidR="00E462D3" w:rsidRDefault="00E462D3" w:rsidP="003C7E5E">
            <w:pPr>
              <w:jc w:val="center"/>
              <w:rPr>
                <w:sz w:val="16"/>
                <w:szCs w:val="18"/>
              </w:rPr>
            </w:pPr>
          </w:p>
        </w:tc>
        <w:tc>
          <w:tcPr>
            <w:tcW w:w="273" w:type="dxa"/>
          </w:tcPr>
          <w:p w14:paraId="1F562884" w14:textId="77777777" w:rsidR="00E462D3" w:rsidRDefault="00E462D3" w:rsidP="003C7E5E">
            <w:pPr>
              <w:rPr>
                <w:sz w:val="16"/>
                <w:szCs w:val="18"/>
              </w:rPr>
            </w:pPr>
          </w:p>
        </w:tc>
        <w:tc>
          <w:tcPr>
            <w:tcW w:w="1925" w:type="dxa"/>
            <w:gridSpan w:val="2"/>
          </w:tcPr>
          <w:p w14:paraId="475D1304" w14:textId="77777777" w:rsidR="00E462D3" w:rsidRDefault="00E462D3" w:rsidP="003C7E5E">
            <w:pPr>
              <w:jc w:val="center"/>
              <w:rPr>
                <w:sz w:val="16"/>
                <w:szCs w:val="18"/>
              </w:rPr>
            </w:pPr>
            <w:r>
              <w:rPr>
                <w:sz w:val="16"/>
                <w:szCs w:val="18"/>
              </w:rPr>
              <w:t>Yes</w:t>
            </w:r>
          </w:p>
        </w:tc>
        <w:tc>
          <w:tcPr>
            <w:tcW w:w="737" w:type="dxa"/>
          </w:tcPr>
          <w:p w14:paraId="58AF49BB" w14:textId="77777777" w:rsidR="00E462D3" w:rsidRDefault="00E462D3" w:rsidP="003C7E5E">
            <w:pPr>
              <w:rPr>
                <w:sz w:val="16"/>
                <w:szCs w:val="18"/>
              </w:rPr>
            </w:pPr>
          </w:p>
        </w:tc>
        <w:tc>
          <w:tcPr>
            <w:tcW w:w="315" w:type="dxa"/>
          </w:tcPr>
          <w:p w14:paraId="57AC7D7F" w14:textId="77777777" w:rsidR="00E462D3" w:rsidRDefault="00E462D3" w:rsidP="003C7E5E">
            <w:pPr>
              <w:rPr>
                <w:sz w:val="16"/>
                <w:szCs w:val="18"/>
              </w:rPr>
            </w:pPr>
          </w:p>
        </w:tc>
        <w:tc>
          <w:tcPr>
            <w:tcW w:w="1310" w:type="dxa"/>
            <w:gridSpan w:val="2"/>
            <w:tcBorders>
              <w:right w:val="single" w:sz="4" w:space="0" w:color="auto"/>
            </w:tcBorders>
          </w:tcPr>
          <w:p w14:paraId="0F5766ED" w14:textId="77777777" w:rsidR="00E462D3" w:rsidRDefault="00E462D3" w:rsidP="003C7E5E">
            <w:pPr>
              <w:rPr>
                <w:sz w:val="16"/>
                <w:szCs w:val="18"/>
              </w:rPr>
            </w:pPr>
          </w:p>
        </w:tc>
        <w:tc>
          <w:tcPr>
            <w:tcW w:w="295" w:type="dxa"/>
            <w:tcBorders>
              <w:left w:val="single" w:sz="4" w:space="0" w:color="auto"/>
              <w:right w:val="single" w:sz="4" w:space="0" w:color="auto"/>
            </w:tcBorders>
          </w:tcPr>
          <w:p w14:paraId="27145A41" w14:textId="77777777" w:rsidR="00E462D3" w:rsidRDefault="00E462D3" w:rsidP="003C7E5E">
            <w:pPr>
              <w:rPr>
                <w:sz w:val="16"/>
                <w:szCs w:val="18"/>
              </w:rPr>
            </w:pPr>
          </w:p>
        </w:tc>
        <w:tc>
          <w:tcPr>
            <w:tcW w:w="2775" w:type="dxa"/>
            <w:gridSpan w:val="4"/>
            <w:vMerge/>
            <w:tcBorders>
              <w:left w:val="single" w:sz="4" w:space="0" w:color="auto"/>
              <w:right w:val="single" w:sz="4" w:space="0" w:color="auto"/>
            </w:tcBorders>
          </w:tcPr>
          <w:p w14:paraId="52D74661" w14:textId="77777777" w:rsidR="00E462D3" w:rsidRDefault="00E462D3" w:rsidP="003C7E5E">
            <w:pPr>
              <w:rPr>
                <w:sz w:val="16"/>
                <w:szCs w:val="18"/>
              </w:rPr>
            </w:pPr>
          </w:p>
        </w:tc>
      </w:tr>
      <w:tr w:rsidR="00E462D3" w:rsidRPr="000D5BFA" w14:paraId="69A0871B" w14:textId="77777777" w:rsidTr="003C7E5E">
        <w:trPr>
          <w:gridAfter w:val="1"/>
          <w:wAfter w:w="944" w:type="dxa"/>
        </w:trPr>
        <w:tc>
          <w:tcPr>
            <w:tcW w:w="1712" w:type="dxa"/>
            <w:gridSpan w:val="2"/>
          </w:tcPr>
          <w:p w14:paraId="3A5CE76F" w14:textId="77777777" w:rsidR="00E462D3" w:rsidRPr="000D5BFA" w:rsidRDefault="00E462D3" w:rsidP="003C7E5E">
            <w:pPr>
              <w:jc w:val="center"/>
              <w:rPr>
                <w:sz w:val="2"/>
                <w:szCs w:val="2"/>
              </w:rPr>
            </w:pPr>
          </w:p>
        </w:tc>
        <w:tc>
          <w:tcPr>
            <w:tcW w:w="273" w:type="dxa"/>
          </w:tcPr>
          <w:p w14:paraId="1927728E" w14:textId="77777777" w:rsidR="00E462D3" w:rsidRPr="000D5BFA" w:rsidRDefault="00E462D3" w:rsidP="003C7E5E">
            <w:pPr>
              <w:rPr>
                <w:sz w:val="2"/>
                <w:szCs w:val="2"/>
              </w:rPr>
            </w:pPr>
          </w:p>
        </w:tc>
        <w:tc>
          <w:tcPr>
            <w:tcW w:w="976" w:type="dxa"/>
            <w:tcBorders>
              <w:bottom w:val="single" w:sz="4" w:space="0" w:color="auto"/>
              <w:right w:val="single" w:sz="4" w:space="0" w:color="auto"/>
            </w:tcBorders>
          </w:tcPr>
          <w:p w14:paraId="19627446" w14:textId="77777777" w:rsidR="00E462D3" w:rsidRPr="000D5BFA" w:rsidRDefault="00E462D3" w:rsidP="003C7E5E">
            <w:pPr>
              <w:rPr>
                <w:sz w:val="2"/>
                <w:szCs w:val="2"/>
              </w:rPr>
            </w:pPr>
          </w:p>
        </w:tc>
        <w:tc>
          <w:tcPr>
            <w:tcW w:w="949" w:type="dxa"/>
            <w:tcBorders>
              <w:left w:val="single" w:sz="4" w:space="0" w:color="auto"/>
              <w:bottom w:val="single" w:sz="4" w:space="0" w:color="auto"/>
            </w:tcBorders>
          </w:tcPr>
          <w:p w14:paraId="71136E3B" w14:textId="77777777" w:rsidR="00E462D3" w:rsidRPr="000D5BFA" w:rsidRDefault="00E462D3" w:rsidP="003C7E5E">
            <w:pPr>
              <w:rPr>
                <w:sz w:val="2"/>
                <w:szCs w:val="2"/>
              </w:rPr>
            </w:pPr>
          </w:p>
        </w:tc>
        <w:tc>
          <w:tcPr>
            <w:tcW w:w="737" w:type="dxa"/>
          </w:tcPr>
          <w:p w14:paraId="1178AE3E" w14:textId="77777777" w:rsidR="00E462D3" w:rsidRPr="000D5BFA" w:rsidRDefault="00E462D3" w:rsidP="003C7E5E">
            <w:pPr>
              <w:rPr>
                <w:sz w:val="2"/>
                <w:szCs w:val="2"/>
              </w:rPr>
            </w:pPr>
          </w:p>
        </w:tc>
        <w:tc>
          <w:tcPr>
            <w:tcW w:w="315" w:type="dxa"/>
          </w:tcPr>
          <w:p w14:paraId="5DC14E13" w14:textId="77777777" w:rsidR="00E462D3" w:rsidRPr="000D5BFA" w:rsidRDefault="00E462D3" w:rsidP="003C7E5E">
            <w:pPr>
              <w:rPr>
                <w:sz w:val="2"/>
                <w:szCs w:val="2"/>
              </w:rPr>
            </w:pPr>
          </w:p>
        </w:tc>
        <w:tc>
          <w:tcPr>
            <w:tcW w:w="1310" w:type="dxa"/>
            <w:gridSpan w:val="2"/>
            <w:tcBorders>
              <w:right w:val="single" w:sz="4" w:space="0" w:color="auto"/>
            </w:tcBorders>
          </w:tcPr>
          <w:p w14:paraId="5BDD08AA" w14:textId="77777777" w:rsidR="00E462D3" w:rsidRPr="000D5BFA" w:rsidRDefault="00E462D3" w:rsidP="003C7E5E">
            <w:pPr>
              <w:rPr>
                <w:sz w:val="2"/>
                <w:szCs w:val="2"/>
              </w:rPr>
            </w:pPr>
          </w:p>
        </w:tc>
        <w:tc>
          <w:tcPr>
            <w:tcW w:w="295" w:type="dxa"/>
            <w:tcBorders>
              <w:left w:val="single" w:sz="4" w:space="0" w:color="auto"/>
            </w:tcBorders>
          </w:tcPr>
          <w:p w14:paraId="49A252D3" w14:textId="77777777" w:rsidR="00E462D3" w:rsidRPr="000D5BFA" w:rsidRDefault="00E462D3" w:rsidP="003C7E5E">
            <w:pPr>
              <w:rPr>
                <w:sz w:val="2"/>
                <w:szCs w:val="2"/>
              </w:rPr>
            </w:pPr>
          </w:p>
        </w:tc>
        <w:tc>
          <w:tcPr>
            <w:tcW w:w="2775" w:type="dxa"/>
            <w:gridSpan w:val="4"/>
            <w:tcBorders>
              <w:top w:val="single" w:sz="4" w:space="0" w:color="auto"/>
            </w:tcBorders>
          </w:tcPr>
          <w:p w14:paraId="73504629" w14:textId="77777777" w:rsidR="00E462D3" w:rsidRPr="000D5BFA" w:rsidRDefault="00E462D3" w:rsidP="003C7E5E">
            <w:pPr>
              <w:rPr>
                <w:sz w:val="2"/>
                <w:szCs w:val="2"/>
              </w:rPr>
            </w:pPr>
          </w:p>
        </w:tc>
      </w:tr>
      <w:tr w:rsidR="00E462D3" w:rsidRPr="000D5BFA" w14:paraId="3D9C19EB" w14:textId="77777777" w:rsidTr="003C7E5E">
        <w:trPr>
          <w:gridAfter w:val="1"/>
          <w:wAfter w:w="944" w:type="dxa"/>
        </w:trPr>
        <w:tc>
          <w:tcPr>
            <w:tcW w:w="835" w:type="dxa"/>
          </w:tcPr>
          <w:p w14:paraId="4E6C0C85" w14:textId="77777777" w:rsidR="00E462D3" w:rsidRPr="000D5BFA" w:rsidRDefault="00E462D3" w:rsidP="003C7E5E">
            <w:pPr>
              <w:jc w:val="center"/>
              <w:rPr>
                <w:sz w:val="2"/>
                <w:szCs w:val="2"/>
              </w:rPr>
            </w:pPr>
          </w:p>
        </w:tc>
        <w:tc>
          <w:tcPr>
            <w:tcW w:w="877" w:type="dxa"/>
          </w:tcPr>
          <w:p w14:paraId="222931DF" w14:textId="77777777" w:rsidR="00E462D3" w:rsidRPr="000D5BFA" w:rsidRDefault="00E462D3" w:rsidP="003C7E5E">
            <w:pPr>
              <w:jc w:val="center"/>
              <w:rPr>
                <w:sz w:val="2"/>
                <w:szCs w:val="2"/>
              </w:rPr>
            </w:pPr>
          </w:p>
        </w:tc>
        <w:tc>
          <w:tcPr>
            <w:tcW w:w="273" w:type="dxa"/>
            <w:tcBorders>
              <w:right w:val="single" w:sz="4" w:space="0" w:color="auto"/>
            </w:tcBorders>
          </w:tcPr>
          <w:p w14:paraId="216AEC8A" w14:textId="77777777" w:rsidR="00E462D3" w:rsidRPr="000D5BFA" w:rsidRDefault="00E462D3" w:rsidP="003C7E5E">
            <w:pPr>
              <w:rPr>
                <w:sz w:val="2"/>
                <w:szCs w:val="2"/>
              </w:rPr>
            </w:pPr>
          </w:p>
        </w:tc>
        <w:tc>
          <w:tcPr>
            <w:tcW w:w="1925" w:type="dxa"/>
            <w:gridSpan w:val="2"/>
            <w:vMerge w:val="restart"/>
            <w:tcBorders>
              <w:top w:val="single" w:sz="4" w:space="0" w:color="auto"/>
              <w:left w:val="single" w:sz="4" w:space="0" w:color="auto"/>
              <w:bottom w:val="single" w:sz="4" w:space="0" w:color="auto"/>
              <w:right w:val="single" w:sz="4" w:space="0" w:color="auto"/>
            </w:tcBorders>
          </w:tcPr>
          <w:p w14:paraId="1E012A46" w14:textId="77777777" w:rsidR="00E462D3" w:rsidRDefault="00E462D3" w:rsidP="003C7E5E">
            <w:pPr>
              <w:spacing w:after="0"/>
              <w:jc w:val="center"/>
              <w:rPr>
                <w:sz w:val="16"/>
                <w:szCs w:val="18"/>
              </w:rPr>
            </w:pPr>
            <w:r>
              <w:rPr>
                <w:sz w:val="16"/>
                <w:szCs w:val="18"/>
              </w:rPr>
              <w:t>Casual inference</w:t>
            </w:r>
          </w:p>
          <w:p w14:paraId="2DBF857D" w14:textId="77777777" w:rsidR="00E462D3" w:rsidRPr="000D5BFA" w:rsidRDefault="00E462D3" w:rsidP="003C7E5E">
            <w:pPr>
              <w:spacing w:after="0"/>
              <w:jc w:val="center"/>
              <w:rPr>
                <w:sz w:val="16"/>
                <w:szCs w:val="18"/>
              </w:rPr>
            </w:pPr>
            <w:r>
              <w:rPr>
                <w:sz w:val="16"/>
                <w:szCs w:val="18"/>
              </w:rPr>
              <w:t>(</w:t>
            </w:r>
            <w:proofErr w:type="gramStart"/>
            <w:r>
              <w:rPr>
                <w:sz w:val="16"/>
                <w:szCs w:val="18"/>
              </w:rPr>
              <w:t>e</w:t>
            </w:r>
            <w:r w:rsidRPr="000D5BFA">
              <w:rPr>
                <w:sz w:val="16"/>
                <w:szCs w:val="18"/>
              </w:rPr>
              <w:t>xperimentation</w:t>
            </w:r>
            <w:proofErr w:type="gramEnd"/>
          </w:p>
          <w:p w14:paraId="2770DFE2" w14:textId="77777777" w:rsidR="00E462D3" w:rsidRPr="000D5BFA" w:rsidRDefault="00E462D3" w:rsidP="003C7E5E">
            <w:pPr>
              <w:spacing w:after="0"/>
              <w:jc w:val="center"/>
              <w:rPr>
                <w:sz w:val="16"/>
                <w:szCs w:val="18"/>
              </w:rPr>
            </w:pPr>
            <w:r>
              <w:rPr>
                <w:sz w:val="16"/>
                <w:szCs w:val="18"/>
              </w:rPr>
              <w:t>/</w:t>
            </w:r>
            <w:r w:rsidRPr="000D5BFA">
              <w:rPr>
                <w:sz w:val="16"/>
                <w:szCs w:val="18"/>
              </w:rPr>
              <w:t>quasi-experimental</w:t>
            </w:r>
            <w:r>
              <w:rPr>
                <w:sz w:val="16"/>
                <w:szCs w:val="18"/>
              </w:rPr>
              <w:t xml:space="preserve"> methods</w:t>
            </w:r>
            <w:r w:rsidRPr="000D5BFA">
              <w:rPr>
                <w:sz w:val="16"/>
                <w:szCs w:val="18"/>
              </w:rPr>
              <w:t>)</w:t>
            </w:r>
          </w:p>
        </w:tc>
        <w:tc>
          <w:tcPr>
            <w:tcW w:w="737" w:type="dxa"/>
            <w:tcBorders>
              <w:left w:val="single" w:sz="4" w:space="0" w:color="auto"/>
              <w:bottom w:val="single" w:sz="4" w:space="0" w:color="auto"/>
            </w:tcBorders>
          </w:tcPr>
          <w:p w14:paraId="3049A1EA" w14:textId="77777777" w:rsidR="00E462D3" w:rsidRPr="000D5BFA" w:rsidRDefault="00E462D3" w:rsidP="003C7E5E">
            <w:pPr>
              <w:rPr>
                <w:sz w:val="2"/>
                <w:szCs w:val="2"/>
              </w:rPr>
            </w:pPr>
          </w:p>
        </w:tc>
        <w:tc>
          <w:tcPr>
            <w:tcW w:w="315" w:type="dxa"/>
            <w:tcBorders>
              <w:bottom w:val="single" w:sz="4" w:space="0" w:color="auto"/>
            </w:tcBorders>
          </w:tcPr>
          <w:p w14:paraId="13D56C6C" w14:textId="77777777" w:rsidR="00E462D3" w:rsidRPr="000D5BFA" w:rsidRDefault="00E462D3" w:rsidP="003C7E5E">
            <w:pPr>
              <w:rPr>
                <w:sz w:val="2"/>
                <w:szCs w:val="2"/>
              </w:rPr>
            </w:pPr>
          </w:p>
        </w:tc>
        <w:tc>
          <w:tcPr>
            <w:tcW w:w="1310" w:type="dxa"/>
            <w:gridSpan w:val="2"/>
            <w:tcBorders>
              <w:bottom w:val="single" w:sz="4" w:space="0" w:color="auto"/>
              <w:right w:val="single" w:sz="4" w:space="0" w:color="auto"/>
            </w:tcBorders>
          </w:tcPr>
          <w:p w14:paraId="7DAD199D" w14:textId="77777777" w:rsidR="00E462D3" w:rsidRPr="000D5BFA" w:rsidRDefault="00E462D3" w:rsidP="003C7E5E">
            <w:pPr>
              <w:rPr>
                <w:sz w:val="2"/>
                <w:szCs w:val="2"/>
              </w:rPr>
            </w:pPr>
          </w:p>
        </w:tc>
        <w:tc>
          <w:tcPr>
            <w:tcW w:w="295" w:type="dxa"/>
            <w:tcBorders>
              <w:left w:val="single" w:sz="4" w:space="0" w:color="auto"/>
            </w:tcBorders>
          </w:tcPr>
          <w:p w14:paraId="74BC8695" w14:textId="77777777" w:rsidR="00E462D3" w:rsidRPr="000D5BFA" w:rsidRDefault="00E462D3" w:rsidP="003C7E5E">
            <w:pPr>
              <w:rPr>
                <w:sz w:val="2"/>
                <w:szCs w:val="2"/>
              </w:rPr>
            </w:pPr>
          </w:p>
        </w:tc>
        <w:tc>
          <w:tcPr>
            <w:tcW w:w="1583" w:type="dxa"/>
            <w:gridSpan w:val="2"/>
          </w:tcPr>
          <w:p w14:paraId="7F83E75A" w14:textId="77777777" w:rsidR="00E462D3" w:rsidRPr="000D5BFA" w:rsidRDefault="00E462D3" w:rsidP="003C7E5E">
            <w:pPr>
              <w:rPr>
                <w:sz w:val="2"/>
                <w:szCs w:val="2"/>
              </w:rPr>
            </w:pPr>
          </w:p>
        </w:tc>
        <w:tc>
          <w:tcPr>
            <w:tcW w:w="1192" w:type="dxa"/>
            <w:gridSpan w:val="2"/>
          </w:tcPr>
          <w:p w14:paraId="024F7730" w14:textId="77777777" w:rsidR="00E462D3" w:rsidRPr="000D5BFA" w:rsidRDefault="00E462D3" w:rsidP="003C7E5E">
            <w:pPr>
              <w:rPr>
                <w:sz w:val="2"/>
                <w:szCs w:val="2"/>
              </w:rPr>
            </w:pPr>
          </w:p>
        </w:tc>
      </w:tr>
      <w:tr w:rsidR="00E462D3" w:rsidRPr="000D5BFA" w14:paraId="2377FABE" w14:textId="77777777" w:rsidTr="003C7E5E">
        <w:trPr>
          <w:gridAfter w:val="1"/>
          <w:wAfter w:w="944" w:type="dxa"/>
        </w:trPr>
        <w:tc>
          <w:tcPr>
            <w:tcW w:w="835" w:type="dxa"/>
          </w:tcPr>
          <w:p w14:paraId="289B3008" w14:textId="77777777" w:rsidR="00E462D3" w:rsidRPr="000D5BFA" w:rsidRDefault="00E462D3" w:rsidP="003C7E5E">
            <w:pPr>
              <w:rPr>
                <w:sz w:val="2"/>
                <w:szCs w:val="2"/>
              </w:rPr>
            </w:pPr>
          </w:p>
        </w:tc>
        <w:tc>
          <w:tcPr>
            <w:tcW w:w="877" w:type="dxa"/>
          </w:tcPr>
          <w:p w14:paraId="648E5D59" w14:textId="77777777" w:rsidR="00E462D3" w:rsidRPr="000D5BFA" w:rsidRDefault="00E462D3" w:rsidP="003C7E5E">
            <w:pPr>
              <w:rPr>
                <w:sz w:val="2"/>
                <w:szCs w:val="2"/>
              </w:rPr>
            </w:pPr>
          </w:p>
        </w:tc>
        <w:tc>
          <w:tcPr>
            <w:tcW w:w="273" w:type="dxa"/>
            <w:tcBorders>
              <w:right w:val="single" w:sz="4" w:space="0" w:color="auto"/>
            </w:tcBorders>
          </w:tcPr>
          <w:p w14:paraId="44A0133F" w14:textId="77777777" w:rsidR="00E462D3" w:rsidRPr="000D5BFA" w:rsidRDefault="00E462D3" w:rsidP="003C7E5E">
            <w:pPr>
              <w:rPr>
                <w:sz w:val="2"/>
                <w:szCs w:val="2"/>
              </w:rPr>
            </w:pPr>
          </w:p>
        </w:tc>
        <w:tc>
          <w:tcPr>
            <w:tcW w:w="1925" w:type="dxa"/>
            <w:gridSpan w:val="2"/>
            <w:vMerge/>
            <w:tcBorders>
              <w:left w:val="single" w:sz="4" w:space="0" w:color="auto"/>
              <w:bottom w:val="single" w:sz="4" w:space="0" w:color="auto"/>
              <w:right w:val="single" w:sz="4" w:space="0" w:color="auto"/>
            </w:tcBorders>
          </w:tcPr>
          <w:p w14:paraId="4C0F31A7" w14:textId="77777777" w:rsidR="00E462D3" w:rsidRPr="000D5BFA" w:rsidRDefault="00E462D3" w:rsidP="003C7E5E">
            <w:pPr>
              <w:rPr>
                <w:sz w:val="2"/>
                <w:szCs w:val="2"/>
              </w:rPr>
            </w:pPr>
          </w:p>
        </w:tc>
        <w:tc>
          <w:tcPr>
            <w:tcW w:w="737" w:type="dxa"/>
            <w:tcBorders>
              <w:top w:val="single" w:sz="4" w:space="0" w:color="auto"/>
              <w:left w:val="single" w:sz="4" w:space="0" w:color="auto"/>
            </w:tcBorders>
          </w:tcPr>
          <w:p w14:paraId="7DF09E5E" w14:textId="77777777" w:rsidR="00E462D3" w:rsidRPr="000D5BFA" w:rsidRDefault="00E462D3" w:rsidP="003C7E5E">
            <w:pPr>
              <w:rPr>
                <w:sz w:val="2"/>
                <w:szCs w:val="2"/>
              </w:rPr>
            </w:pPr>
          </w:p>
        </w:tc>
        <w:tc>
          <w:tcPr>
            <w:tcW w:w="315" w:type="dxa"/>
            <w:tcBorders>
              <w:top w:val="single" w:sz="4" w:space="0" w:color="auto"/>
            </w:tcBorders>
          </w:tcPr>
          <w:p w14:paraId="12F88006" w14:textId="77777777" w:rsidR="00E462D3" w:rsidRPr="000D5BFA" w:rsidRDefault="00E462D3" w:rsidP="003C7E5E">
            <w:pPr>
              <w:rPr>
                <w:sz w:val="2"/>
                <w:szCs w:val="2"/>
              </w:rPr>
            </w:pPr>
          </w:p>
        </w:tc>
        <w:tc>
          <w:tcPr>
            <w:tcW w:w="1310" w:type="dxa"/>
            <w:gridSpan w:val="2"/>
            <w:tcBorders>
              <w:top w:val="single" w:sz="4" w:space="0" w:color="auto"/>
            </w:tcBorders>
          </w:tcPr>
          <w:p w14:paraId="62543407" w14:textId="77777777" w:rsidR="00E462D3" w:rsidRPr="000D5BFA" w:rsidRDefault="00E462D3" w:rsidP="003C7E5E">
            <w:pPr>
              <w:rPr>
                <w:sz w:val="2"/>
                <w:szCs w:val="2"/>
              </w:rPr>
            </w:pPr>
          </w:p>
        </w:tc>
        <w:tc>
          <w:tcPr>
            <w:tcW w:w="295" w:type="dxa"/>
          </w:tcPr>
          <w:p w14:paraId="535CE62E" w14:textId="77777777" w:rsidR="00E462D3" w:rsidRPr="000D5BFA" w:rsidRDefault="00E462D3" w:rsidP="003C7E5E">
            <w:pPr>
              <w:rPr>
                <w:sz w:val="2"/>
                <w:szCs w:val="2"/>
              </w:rPr>
            </w:pPr>
          </w:p>
        </w:tc>
        <w:tc>
          <w:tcPr>
            <w:tcW w:w="1583" w:type="dxa"/>
            <w:gridSpan w:val="2"/>
          </w:tcPr>
          <w:p w14:paraId="2DF7534C" w14:textId="77777777" w:rsidR="00E462D3" w:rsidRPr="000D5BFA" w:rsidRDefault="00E462D3" w:rsidP="003C7E5E">
            <w:pPr>
              <w:rPr>
                <w:sz w:val="2"/>
                <w:szCs w:val="2"/>
              </w:rPr>
            </w:pPr>
          </w:p>
        </w:tc>
        <w:tc>
          <w:tcPr>
            <w:tcW w:w="1192" w:type="dxa"/>
            <w:gridSpan w:val="2"/>
          </w:tcPr>
          <w:p w14:paraId="04434342" w14:textId="77777777" w:rsidR="00E462D3" w:rsidRPr="000D5BFA" w:rsidRDefault="00E462D3" w:rsidP="003C7E5E">
            <w:pPr>
              <w:rPr>
                <w:sz w:val="2"/>
                <w:szCs w:val="2"/>
              </w:rPr>
            </w:pPr>
          </w:p>
        </w:tc>
      </w:tr>
    </w:tbl>
    <w:p w14:paraId="6D85FEFD" w14:textId="77777777" w:rsidR="00E462D3" w:rsidRDefault="00E462D3" w:rsidP="003D5C8A"/>
    <w:p w14:paraId="656029A7" w14:textId="67276621" w:rsidR="004F2954" w:rsidRDefault="00BC62EF" w:rsidP="003D5C8A">
      <w:pPr>
        <w:rPr>
          <w:i/>
          <w:iCs/>
        </w:rPr>
      </w:pPr>
      <w:r>
        <w:t xml:space="preserve">On the ground the decision on the ‘best’ type of evidence is usually contextualised within the specific </w:t>
      </w:r>
      <w:r w:rsidR="00376027">
        <w:t xml:space="preserve">objectives and delivery </w:t>
      </w:r>
      <w:r>
        <w:t xml:space="preserve">context in place and the evidence needs. What counts as the ‘best’ design might be highly dependent on the nature of the question in hand. Often evidence-based decisions draw on a </w:t>
      </w:r>
      <w:proofErr w:type="gramStart"/>
      <w:r>
        <w:t>common sense</w:t>
      </w:r>
      <w:proofErr w:type="gramEnd"/>
      <w:r>
        <w:t xml:space="preserve"> interpretation of the strength of evidence </w:t>
      </w:r>
      <w:proofErr w:type="gramStart"/>
      <w:r>
        <w:t>in order to</w:t>
      </w:r>
      <w:proofErr w:type="gramEnd"/>
      <w:r>
        <w:t xml:space="preserve"> make conclusions and recommendations – especially for short term outcomes (for example on whether a skills development activity is supporting students to </w:t>
      </w:r>
      <w:proofErr w:type="gramStart"/>
      <w:r>
        <w:t>developed</w:t>
      </w:r>
      <w:proofErr w:type="gramEnd"/>
      <w:r>
        <w:t xml:space="preserve"> the skills required). </w:t>
      </w:r>
      <w:r w:rsidR="00B13CDF">
        <w:t>Plus, i</w:t>
      </w:r>
      <w:r>
        <w:t xml:space="preserve">solating a causal impact </w:t>
      </w:r>
      <w:r w:rsidR="00B13CDF">
        <w:t>is</w:t>
      </w:r>
      <w:r>
        <w:t xml:space="preserve"> not necessarily the only purpose of evaluation and knowledge development in the higher education context.</w:t>
      </w:r>
      <w:r w:rsidR="003D5C8A">
        <w:rPr>
          <w:i/>
          <w:iCs/>
        </w:rPr>
        <w:t xml:space="preserve"> </w:t>
      </w:r>
    </w:p>
    <w:p w14:paraId="53BADC1B" w14:textId="4AE8202F" w:rsidR="005923AA" w:rsidRPr="003C1203" w:rsidRDefault="005923AA" w:rsidP="00AE610F">
      <w:pPr>
        <w:pStyle w:val="Heading2"/>
      </w:pPr>
      <w:bookmarkStart w:id="51" w:name="_Toc205504263"/>
      <w:r w:rsidRPr="003C1203">
        <w:lastRenderedPageBreak/>
        <w:t xml:space="preserve">Challenges to </w:t>
      </w:r>
      <w:r>
        <w:t xml:space="preserve">using </w:t>
      </w:r>
      <w:r w:rsidRPr="003C1203">
        <w:t>experimental methods</w:t>
      </w:r>
      <w:bookmarkEnd w:id="51"/>
    </w:p>
    <w:p w14:paraId="487E4C8D" w14:textId="6FC1A978" w:rsidR="003D5C8A" w:rsidRPr="003D5C8A" w:rsidRDefault="005923AA" w:rsidP="003D5C8A">
      <w:pPr>
        <w:rPr>
          <w:i/>
          <w:iCs/>
        </w:rPr>
      </w:pPr>
      <w:r>
        <w:t>T</w:t>
      </w:r>
      <w:r w:rsidR="00BC62EF">
        <w:t xml:space="preserve">here are multiple reasons why a purely experimental design can prove challenging in higher education contexts (Table </w:t>
      </w:r>
      <w:r w:rsidR="00373796">
        <w:t>3</w:t>
      </w:r>
      <w:r w:rsidR="00A04060">
        <w:t>.1</w:t>
      </w:r>
      <w:r w:rsidR="00BC62EF">
        <w:t>). Apart from anything else t</w:t>
      </w:r>
      <w:r w:rsidR="00BC62EF" w:rsidRPr="004B5F07">
        <w:t xml:space="preserve">he complexity of many widening participation interventions, particularly multifaceted interventions and strategies which cut across institutional functions, makes </w:t>
      </w:r>
      <w:r w:rsidR="00BC62EF">
        <w:t>experimentation</w:t>
      </w:r>
      <w:r w:rsidR="00BC62EF" w:rsidRPr="004B5F07">
        <w:t xml:space="preserve"> </w:t>
      </w:r>
      <w:r w:rsidR="00BC62EF">
        <w:t xml:space="preserve">questionable because the </w:t>
      </w:r>
      <w:r w:rsidR="00BC62EF" w:rsidRPr="004B5F07">
        <w:t xml:space="preserve">designs are limited in what they can say about complex social fields. </w:t>
      </w:r>
    </w:p>
    <w:p w14:paraId="10CF6626" w14:textId="77777777" w:rsidR="003D5C8A" w:rsidRDefault="003D5C8A" w:rsidP="003D5C8A">
      <w:pPr>
        <w:ind w:left="567"/>
        <w:rPr>
          <w:i/>
          <w:iCs/>
        </w:rPr>
      </w:pPr>
      <w:r w:rsidRPr="009F1527">
        <w:rPr>
          <w:i/>
          <w:iCs/>
        </w:rPr>
        <w:t xml:space="preserve">I understand the concept of what good and relevant research is but from my perspective I find it difficult to do gold standard research </w:t>
      </w:r>
    </w:p>
    <w:p w14:paraId="0562BF04" w14:textId="3A55604F" w:rsidR="00BC62EF" w:rsidRDefault="00BC62EF" w:rsidP="003D5C8A">
      <w:pPr>
        <w:ind w:left="567"/>
        <w:rPr>
          <w:i/>
          <w:iCs/>
        </w:rPr>
      </w:pPr>
      <w:r w:rsidRPr="009F1527">
        <w:rPr>
          <w:i/>
          <w:iCs/>
        </w:rPr>
        <w:t>RCTs aren’t the reality in the situation we’re dealing with</w:t>
      </w:r>
      <w:r w:rsidR="00190528">
        <w:rPr>
          <w:i/>
          <w:iCs/>
        </w:rPr>
        <w:t xml:space="preserve">. </w:t>
      </w:r>
    </w:p>
    <w:p w14:paraId="477CA4D2" w14:textId="77777777" w:rsidR="00B1038C" w:rsidRDefault="00B1038C" w:rsidP="00B1038C">
      <w:r>
        <w:t>Th</w:t>
      </w:r>
      <w:r w:rsidRPr="006A4B9B">
        <w:t>ere is a perceived risk in committing scarce evaluation resources and capacity to an RCT because of the p</w:t>
      </w:r>
      <w:r>
        <w:t xml:space="preserve">otential for </w:t>
      </w:r>
      <w:r w:rsidRPr="0035379B">
        <w:t xml:space="preserve">unhelpful </w:t>
      </w:r>
      <w:r>
        <w:t xml:space="preserve">inconclusive </w:t>
      </w:r>
      <w:r w:rsidRPr="0035379B">
        <w:t>results</w:t>
      </w:r>
      <w:r>
        <w:t xml:space="preserve">. RCTs provide the most compelling argument for causation, but they do this by disproving the null hypothesis. Inconclusive results therefore are hard to interpret. </w:t>
      </w:r>
      <w:r w:rsidRPr="004B5F07">
        <w:t xml:space="preserve">Depending on the numbers involved and the nature of the intervention (and in consideration of the relationship between the intervention and the outcome/impact and the existence of extraneous factors) there were concerns </w:t>
      </w:r>
      <w:r>
        <w:t xml:space="preserve">that RCTs were a waste of (scarce) evaluation resources. </w:t>
      </w:r>
    </w:p>
    <w:p w14:paraId="13CBDD5D" w14:textId="77777777" w:rsidR="00B1038C" w:rsidRPr="00AF0D77" w:rsidRDefault="00B1038C" w:rsidP="00B1038C">
      <w:pPr>
        <w:ind w:left="567"/>
        <w:rPr>
          <w:i/>
          <w:iCs/>
        </w:rPr>
      </w:pPr>
      <w:r w:rsidRPr="00AF0D77">
        <w:rPr>
          <w:i/>
          <w:iCs/>
        </w:rPr>
        <w:t xml:space="preserve">How do you interpret </w:t>
      </w:r>
      <w:r>
        <w:t>[inconclusive]</w:t>
      </w:r>
      <w:r w:rsidRPr="00AF0D77">
        <w:rPr>
          <w:i/>
          <w:iCs/>
        </w:rPr>
        <w:t xml:space="preserve"> results? </w:t>
      </w:r>
      <w:r>
        <w:rPr>
          <w:i/>
          <w:iCs/>
        </w:rPr>
        <w:t>T</w:t>
      </w:r>
      <w:r w:rsidRPr="00AF0D77">
        <w:rPr>
          <w:i/>
          <w:iCs/>
        </w:rPr>
        <w:t xml:space="preserve">o be useful, </w:t>
      </w:r>
      <w:r>
        <w:rPr>
          <w:i/>
          <w:iCs/>
        </w:rPr>
        <w:t xml:space="preserve">you need a result </w:t>
      </w:r>
      <w:r w:rsidRPr="00AF0D77">
        <w:rPr>
          <w:i/>
          <w:iCs/>
        </w:rPr>
        <w:t>because otherwise we'll just be like, oh, we've got no evidence that it's effective</w:t>
      </w:r>
      <w:r>
        <w:rPr>
          <w:i/>
          <w:iCs/>
        </w:rPr>
        <w:t>. The in</w:t>
      </w:r>
      <w:r w:rsidRPr="00AF0D77">
        <w:rPr>
          <w:i/>
          <w:iCs/>
        </w:rPr>
        <w:t>ference</w:t>
      </w:r>
      <w:r>
        <w:rPr>
          <w:i/>
          <w:iCs/>
        </w:rPr>
        <w:t xml:space="preserve"> p</w:t>
      </w:r>
      <w:r w:rsidRPr="00AF0D77">
        <w:rPr>
          <w:i/>
          <w:iCs/>
        </w:rPr>
        <w:t>eople make</w:t>
      </w:r>
      <w:r>
        <w:rPr>
          <w:i/>
          <w:iCs/>
        </w:rPr>
        <w:t xml:space="preserve"> is that i</w:t>
      </w:r>
      <w:r w:rsidRPr="00AF0D77">
        <w:rPr>
          <w:i/>
          <w:iCs/>
        </w:rPr>
        <w:t>t's not effective because th</w:t>
      </w:r>
      <w:r>
        <w:rPr>
          <w:i/>
          <w:iCs/>
        </w:rPr>
        <w:t>ere’s a</w:t>
      </w:r>
      <w:r w:rsidRPr="00AF0D77">
        <w:rPr>
          <w:i/>
          <w:iCs/>
        </w:rPr>
        <w:t xml:space="preserve"> n</w:t>
      </w:r>
      <w:r>
        <w:rPr>
          <w:i/>
          <w:iCs/>
        </w:rPr>
        <w:t>ull</w:t>
      </w:r>
      <w:r w:rsidRPr="00AF0D77">
        <w:rPr>
          <w:i/>
          <w:iCs/>
        </w:rPr>
        <w:t xml:space="preserve"> result. </w:t>
      </w:r>
      <w:r>
        <w:rPr>
          <w:i/>
          <w:iCs/>
        </w:rPr>
        <w:t>N</w:t>
      </w:r>
      <w:r w:rsidRPr="00AF0D77">
        <w:rPr>
          <w:i/>
          <w:iCs/>
        </w:rPr>
        <w:t xml:space="preserve">ot everybody who is engaging with evaluation perhaps has that understanding of how to interpret these kinds of results and what it means for them within their institutional context. </w:t>
      </w:r>
      <w:proofErr w:type="gramStart"/>
      <w:r w:rsidRPr="00AF0D77">
        <w:rPr>
          <w:i/>
          <w:iCs/>
        </w:rPr>
        <w:t>So</w:t>
      </w:r>
      <w:proofErr w:type="gramEnd"/>
      <w:r w:rsidRPr="00AF0D77">
        <w:rPr>
          <w:i/>
          <w:iCs/>
        </w:rPr>
        <w:t xml:space="preserve"> I think we've got to be </w:t>
      </w:r>
      <w:proofErr w:type="gramStart"/>
      <w:r w:rsidRPr="00AF0D77">
        <w:rPr>
          <w:i/>
          <w:iCs/>
        </w:rPr>
        <w:t>really</w:t>
      </w:r>
      <w:r>
        <w:rPr>
          <w:i/>
          <w:iCs/>
        </w:rPr>
        <w:t xml:space="preserve"> </w:t>
      </w:r>
      <w:r w:rsidRPr="00AF0D77">
        <w:rPr>
          <w:i/>
          <w:iCs/>
        </w:rPr>
        <w:t>mindful</w:t>
      </w:r>
      <w:proofErr w:type="gramEnd"/>
      <w:r w:rsidRPr="00AF0D77">
        <w:rPr>
          <w:i/>
          <w:iCs/>
        </w:rPr>
        <w:t xml:space="preserve"> of that in how we can both develop guidance but also present our evidence. </w:t>
      </w:r>
    </w:p>
    <w:p w14:paraId="38469EC5" w14:textId="2043F98B" w:rsidR="00BC62EF" w:rsidRDefault="00BC62EF" w:rsidP="006E42DE">
      <w:pPr>
        <w:keepNext/>
      </w:pPr>
      <w:r>
        <w:t xml:space="preserve">Table </w:t>
      </w:r>
      <w:r w:rsidR="00A5728B">
        <w:t>3</w:t>
      </w:r>
      <w:r w:rsidR="00A04060">
        <w:t>.1</w:t>
      </w:r>
      <w:r>
        <w:t>: Potential strengths and weakness of randomised control trials in higher education settings</w:t>
      </w:r>
    </w:p>
    <w:tbl>
      <w:tblPr>
        <w:tblStyle w:val="TableGrid"/>
        <w:tblW w:w="0" w:type="auto"/>
        <w:jc w:val="center"/>
        <w:shd w:val="clear" w:color="auto" w:fill="E8E8E8" w:themeFill="background2"/>
        <w:tblLook w:val="04A0" w:firstRow="1" w:lastRow="0" w:firstColumn="1" w:lastColumn="0" w:noHBand="0" w:noVBand="1"/>
      </w:tblPr>
      <w:tblGrid>
        <w:gridCol w:w="4508"/>
        <w:gridCol w:w="4508"/>
      </w:tblGrid>
      <w:tr w:rsidR="00BC62EF" w:rsidRPr="00AA69C3" w14:paraId="5EE6DCD0" w14:textId="77777777" w:rsidTr="00C677D9">
        <w:trPr>
          <w:jc w:val="center"/>
        </w:trPr>
        <w:tc>
          <w:tcPr>
            <w:tcW w:w="4508" w:type="dxa"/>
            <w:shd w:val="clear" w:color="auto" w:fill="E8E8E8" w:themeFill="background2"/>
          </w:tcPr>
          <w:p w14:paraId="0845CCC1" w14:textId="77777777" w:rsidR="00BC62EF" w:rsidRPr="00AA69C3" w:rsidRDefault="00BC62EF" w:rsidP="00295ED5">
            <w:pPr>
              <w:pStyle w:val="Box"/>
            </w:pPr>
            <w:r w:rsidRPr="00AA69C3">
              <w:t>Strengths</w:t>
            </w:r>
          </w:p>
        </w:tc>
        <w:tc>
          <w:tcPr>
            <w:tcW w:w="4508" w:type="dxa"/>
            <w:shd w:val="clear" w:color="auto" w:fill="E8E8E8" w:themeFill="background2"/>
          </w:tcPr>
          <w:p w14:paraId="78CCABC7" w14:textId="77777777" w:rsidR="00BC62EF" w:rsidRPr="00AA69C3" w:rsidRDefault="00BC62EF" w:rsidP="00295ED5">
            <w:pPr>
              <w:pStyle w:val="Box"/>
            </w:pPr>
            <w:r w:rsidRPr="00AA69C3">
              <w:t>Weaknesses</w:t>
            </w:r>
          </w:p>
        </w:tc>
      </w:tr>
      <w:tr w:rsidR="00BC62EF" w:rsidRPr="00AA69C3" w14:paraId="5610A7D1" w14:textId="77777777" w:rsidTr="00C677D9">
        <w:trPr>
          <w:jc w:val="center"/>
        </w:trPr>
        <w:tc>
          <w:tcPr>
            <w:tcW w:w="4508" w:type="dxa"/>
            <w:shd w:val="clear" w:color="auto" w:fill="E8E8E8" w:themeFill="background2"/>
          </w:tcPr>
          <w:p w14:paraId="59B20A94" w14:textId="77777777" w:rsidR="00BC62EF" w:rsidRPr="00AA69C3" w:rsidRDefault="00BC62EF" w:rsidP="008B27AE">
            <w:pPr>
              <w:pStyle w:val="Box"/>
            </w:pPr>
            <w:r w:rsidRPr="00AA69C3">
              <w:t>Seeks to define objective theories</w:t>
            </w:r>
          </w:p>
          <w:p w14:paraId="1E4CA2A4" w14:textId="77777777" w:rsidR="00BC62EF" w:rsidRPr="00AA69C3" w:rsidRDefault="00BC62EF" w:rsidP="008B27AE">
            <w:pPr>
              <w:pStyle w:val="Box"/>
            </w:pPr>
            <w:r w:rsidRPr="00AA69C3">
              <w:t>Tests a hypothesis</w:t>
            </w:r>
          </w:p>
          <w:p w14:paraId="7D081D01" w14:textId="77777777" w:rsidR="00BC62EF" w:rsidRPr="00AA69C3" w:rsidRDefault="00BC62EF" w:rsidP="008B27AE">
            <w:pPr>
              <w:pStyle w:val="Box"/>
            </w:pPr>
            <w:r w:rsidRPr="00AA69C3">
              <w:t>Randomisation controls for extraneous variables</w:t>
            </w:r>
          </w:p>
          <w:p w14:paraId="3B4DAEBE" w14:textId="2E969566" w:rsidR="00BC62EF" w:rsidRPr="00AA69C3" w:rsidRDefault="00BC62EF" w:rsidP="008B27AE">
            <w:pPr>
              <w:pStyle w:val="Box"/>
            </w:pPr>
            <w:r w:rsidRPr="00AA69C3">
              <w:t xml:space="preserve">Randomisation </w:t>
            </w:r>
            <w:r w:rsidR="001E1DBC">
              <w:t>reduces</w:t>
            </w:r>
            <w:r w:rsidRPr="00AA69C3">
              <w:t xml:space="preserve"> biases</w:t>
            </w:r>
            <w:r w:rsidR="001E1DBC">
              <w:t xml:space="preserve"> by removing selection effects and controlling for confounding variables</w:t>
            </w:r>
            <w:r w:rsidR="004A79E6">
              <w:rPr>
                <w:rStyle w:val="FootnoteReference"/>
              </w:rPr>
              <w:footnoteReference w:id="11"/>
            </w:r>
          </w:p>
          <w:p w14:paraId="2E3580C6" w14:textId="77777777" w:rsidR="00BC62EF" w:rsidRPr="00AA69C3" w:rsidRDefault="00BC62EF" w:rsidP="008B27AE">
            <w:pPr>
              <w:pStyle w:val="Box"/>
            </w:pPr>
          </w:p>
        </w:tc>
        <w:tc>
          <w:tcPr>
            <w:tcW w:w="4508" w:type="dxa"/>
            <w:shd w:val="clear" w:color="auto" w:fill="E8E8E8" w:themeFill="background2"/>
          </w:tcPr>
          <w:p w14:paraId="5599E5EC" w14:textId="05DF326B" w:rsidR="00BC62EF" w:rsidRPr="00AA69C3" w:rsidRDefault="00BC62EF" w:rsidP="008B27AE">
            <w:pPr>
              <w:pStyle w:val="Box"/>
            </w:pPr>
            <w:r w:rsidRPr="00AA69C3">
              <w:t>Time and resource intensive</w:t>
            </w:r>
          </w:p>
          <w:p w14:paraId="0C167F35" w14:textId="77777777" w:rsidR="00BC62EF" w:rsidRPr="00AA69C3" w:rsidRDefault="00BC62EF" w:rsidP="008B27AE">
            <w:pPr>
              <w:pStyle w:val="Box"/>
            </w:pPr>
            <w:r w:rsidRPr="00AA69C3">
              <w:t>Relies on statistics (useless where statistics are not available e.g. small cohorts)</w:t>
            </w:r>
          </w:p>
          <w:p w14:paraId="561ABA04" w14:textId="77777777" w:rsidR="00BC62EF" w:rsidRPr="00AA69C3" w:rsidRDefault="00BC62EF" w:rsidP="008B27AE">
            <w:pPr>
              <w:pStyle w:val="Box"/>
            </w:pPr>
            <w:r w:rsidRPr="00AA69C3">
              <w:t>Cannot deal with singular events (e.g. the specific personal effect an individual might say the intervention had for them)</w:t>
            </w:r>
          </w:p>
          <w:p w14:paraId="5A5F1A45" w14:textId="5E9DECF0" w:rsidR="00BC62EF" w:rsidRPr="00AA69C3" w:rsidRDefault="00BC62EF" w:rsidP="008B27AE">
            <w:pPr>
              <w:pStyle w:val="Box"/>
            </w:pPr>
            <w:r w:rsidRPr="00AA69C3">
              <w:t>Can hit problems in identifying a control group (e.g. where there are ethical objections to randomisation when it comes to students facing disadvantages; can be issues with access to control group data)</w:t>
            </w:r>
          </w:p>
          <w:p w14:paraId="0D7FBBB6" w14:textId="77777777" w:rsidR="00BC62EF" w:rsidRPr="00AA69C3" w:rsidRDefault="00BC62EF" w:rsidP="008B27AE">
            <w:pPr>
              <w:pStyle w:val="Box"/>
            </w:pPr>
            <w:r w:rsidRPr="00AA69C3">
              <w:t>Probability that the results may not be conclusive</w:t>
            </w:r>
          </w:p>
          <w:p w14:paraId="7850E525" w14:textId="77777777" w:rsidR="00BC62EF" w:rsidRPr="00AA69C3" w:rsidRDefault="00BC62EF" w:rsidP="008B27AE">
            <w:pPr>
              <w:pStyle w:val="Box"/>
            </w:pPr>
            <w:r w:rsidRPr="00AA69C3">
              <w:t>Potentially low external validity (due to tight control conditions)</w:t>
            </w:r>
          </w:p>
          <w:p w14:paraId="5273A6D7" w14:textId="77777777" w:rsidR="00BC62EF" w:rsidRPr="00AA69C3" w:rsidRDefault="00BC62EF" w:rsidP="008B27AE">
            <w:pPr>
              <w:pStyle w:val="Box"/>
            </w:pPr>
            <w:r w:rsidRPr="00AA69C3">
              <w:t xml:space="preserve">May be of limited value in the assessment of </w:t>
            </w:r>
            <w:proofErr w:type="gramStart"/>
            <w:r w:rsidRPr="00AA69C3">
              <w:t>long term</w:t>
            </w:r>
            <w:proofErr w:type="gramEnd"/>
            <w:r w:rsidRPr="00AA69C3">
              <w:t xml:space="preserve"> outcomes because RCTs are frequently small and/or of too short duration for longer-term outcomes to be detected</w:t>
            </w:r>
          </w:p>
          <w:p w14:paraId="230A1D3E" w14:textId="366E1D1E" w:rsidR="00BC62EF" w:rsidRPr="00AA69C3" w:rsidRDefault="00BC62EF" w:rsidP="008B27AE">
            <w:pPr>
              <w:pStyle w:val="Box"/>
            </w:pPr>
            <w:r w:rsidRPr="00AA69C3">
              <w:t>Might be danger of focusing on ‘measurables’ above other meaningful outcomes.</w:t>
            </w:r>
          </w:p>
        </w:tc>
      </w:tr>
    </w:tbl>
    <w:p w14:paraId="17E732CA" w14:textId="77777777" w:rsidR="00DF5A79" w:rsidRPr="00DF5A79" w:rsidRDefault="00DF5A79" w:rsidP="00DF5A79">
      <w:pPr>
        <w:pStyle w:val="Gap"/>
        <w:rPr>
          <w:sz w:val="2"/>
          <w:szCs w:val="2"/>
        </w:rPr>
      </w:pPr>
    </w:p>
    <w:p w14:paraId="329F920F" w14:textId="24F4FE03" w:rsidR="00662554" w:rsidRDefault="00662554" w:rsidP="00662554">
      <w:r>
        <w:t xml:space="preserve">It is perhaps fair to say that in general the standards have pushed providers to make sure they have evidence to reasonably conclude that their interventions are likely to be making a material difference compared to what would have happened without the intervention (or not). From a provider perspective, having assurance that </w:t>
      </w:r>
      <w:r>
        <w:lastRenderedPageBreak/>
        <w:t xml:space="preserve">the evaluation effort will evidence the worth of </w:t>
      </w:r>
      <w:r w:rsidR="00194F22">
        <w:t>an</w:t>
      </w:r>
      <w:r>
        <w:t xml:space="preserve"> interventions was probably more important than making claims to causality</w:t>
      </w:r>
      <w:r w:rsidR="00EF6068">
        <w:t xml:space="preserve"> </w:t>
      </w:r>
      <w:r w:rsidR="009732F1">
        <w:t>for</w:t>
      </w:r>
      <w:r w:rsidR="009349DF">
        <w:t xml:space="preserve"> </w:t>
      </w:r>
      <w:r>
        <w:t>exceptional intervention</w:t>
      </w:r>
      <w:r w:rsidR="009732F1">
        <w:t>s</w:t>
      </w:r>
      <w:r>
        <w:t xml:space="preserve"> </w:t>
      </w:r>
      <w:r w:rsidR="009732F1">
        <w:t>with</w:t>
      </w:r>
      <w:r>
        <w:t xml:space="preserve"> the conditions for tight experimental control. </w:t>
      </w:r>
    </w:p>
    <w:p w14:paraId="2B2B1D8E" w14:textId="7354B95D" w:rsidR="00B420E9" w:rsidRDefault="00AA0B2A" w:rsidP="0003379B">
      <w:r>
        <w:t>Less than half (t</w:t>
      </w:r>
      <w:r w:rsidR="00FD0803">
        <w:t>hree</w:t>
      </w:r>
      <w:r>
        <w:t>)</w:t>
      </w:r>
      <w:r w:rsidR="00010E0B">
        <w:t xml:space="preserve"> case</w:t>
      </w:r>
      <w:r w:rsidR="0011552C">
        <w:t xml:space="preserve">s </w:t>
      </w:r>
      <w:r w:rsidR="00010E0B">
        <w:t xml:space="preserve">in the sample had </w:t>
      </w:r>
      <w:r w:rsidR="00FD0803">
        <w:t xml:space="preserve">stated </w:t>
      </w:r>
      <w:r w:rsidR="004004EC">
        <w:t xml:space="preserve">APP aims </w:t>
      </w:r>
      <w:r w:rsidR="00010E0B">
        <w:t>for a Type 3 evaluation</w:t>
      </w:r>
      <w:r w:rsidR="004004EC">
        <w:t xml:space="preserve">. </w:t>
      </w:r>
      <w:r w:rsidR="00B0416A">
        <w:t>The</w:t>
      </w:r>
      <w:r w:rsidR="005F0BC8">
        <w:t>se cases</w:t>
      </w:r>
      <w:r w:rsidR="004004EC">
        <w:t xml:space="preserve"> </w:t>
      </w:r>
      <w:r w:rsidR="00B0416A">
        <w:t>were aiming to use a</w:t>
      </w:r>
      <w:r w:rsidR="00E43CD9">
        <w:t xml:space="preserve"> quasi-experimental design</w:t>
      </w:r>
      <w:r w:rsidR="00B0416A">
        <w:t xml:space="preserve"> and</w:t>
      </w:r>
      <w:r w:rsidR="00E43CD9">
        <w:t xml:space="preserve"> </w:t>
      </w:r>
      <w:r w:rsidR="00CC7F17">
        <w:t>include</w:t>
      </w:r>
      <w:r w:rsidR="00B0416A">
        <w:t>d evaluation to</w:t>
      </w:r>
      <w:r w:rsidR="00240942">
        <w:t xml:space="preserve"> </w:t>
      </w:r>
      <w:proofErr w:type="gramStart"/>
      <w:r w:rsidR="00A7576E">
        <w:t>assess</w:t>
      </w:r>
      <w:r w:rsidR="0005373B">
        <w:t>:</w:t>
      </w:r>
      <w:proofErr w:type="gramEnd"/>
      <w:r w:rsidR="00E43CD9">
        <w:t xml:space="preserve"> </w:t>
      </w:r>
      <w:r w:rsidR="0005373B">
        <w:t xml:space="preserve">degree </w:t>
      </w:r>
      <w:r w:rsidR="00E43CD9">
        <w:t>outcomes for students who utilised a contextual grade reduction at admission</w:t>
      </w:r>
      <w:r w:rsidR="00240942">
        <w:t>s</w:t>
      </w:r>
      <w:r w:rsidR="00E43CD9">
        <w:t xml:space="preserve">; </w:t>
      </w:r>
      <w:r w:rsidR="00CC7F17">
        <w:t>employm</w:t>
      </w:r>
      <w:r w:rsidR="00B821E0">
        <w:t>ent</w:t>
      </w:r>
      <w:r w:rsidR="00640760">
        <w:t xml:space="preserve"> outcomes for students who access </w:t>
      </w:r>
      <w:r w:rsidR="00E43CD9">
        <w:t>placement</w:t>
      </w:r>
      <w:r w:rsidR="00640760">
        <w:t xml:space="preserve"> opportunities</w:t>
      </w:r>
      <w:r w:rsidR="00E43CD9">
        <w:t>;</w:t>
      </w:r>
      <w:r w:rsidR="00640760">
        <w:t xml:space="preserve"> </w:t>
      </w:r>
      <w:r w:rsidR="006A243A">
        <w:t xml:space="preserve">the </w:t>
      </w:r>
      <w:r w:rsidR="000B1127">
        <w:t>confidence, self-efficacy and continuation benefits of transition support;</w:t>
      </w:r>
      <w:r w:rsidR="0003379B">
        <w:t xml:space="preserve"> </w:t>
      </w:r>
      <w:r w:rsidR="006A243A">
        <w:t xml:space="preserve">and </w:t>
      </w:r>
      <w:r w:rsidR="0003379B">
        <w:t xml:space="preserve">continuation and future success </w:t>
      </w:r>
      <w:r w:rsidR="006A243A">
        <w:t xml:space="preserve">outcomes </w:t>
      </w:r>
      <w:r w:rsidR="0003379B">
        <w:t>of students participating in mentoring (amongst other things).</w:t>
      </w:r>
      <w:r w:rsidR="00240942">
        <w:t xml:space="preserve"> </w:t>
      </w:r>
      <w:r w:rsidR="0003379B">
        <w:t>A</w:t>
      </w:r>
      <w:r w:rsidR="00C84A3E">
        <w:t xml:space="preserve">nother case had included the use of inferential </w:t>
      </w:r>
      <w:r w:rsidR="00505FBD">
        <w:t xml:space="preserve">statistics </w:t>
      </w:r>
      <w:r w:rsidR="00DA79EC">
        <w:t xml:space="preserve">in an evaluation involving </w:t>
      </w:r>
      <w:r w:rsidR="00685271">
        <w:t xml:space="preserve">assessment of </w:t>
      </w:r>
      <w:r w:rsidR="00E25F10" w:rsidRPr="00E25F10">
        <w:t>cognitive strategies, metacognitive strategies and</w:t>
      </w:r>
      <w:r w:rsidR="00A1381E">
        <w:t xml:space="preserve"> sense of institutional support/gains </w:t>
      </w:r>
      <w:r w:rsidR="00505FBD">
        <w:t xml:space="preserve">for </w:t>
      </w:r>
      <w:r w:rsidR="00A1381E">
        <w:t xml:space="preserve">students taking up </w:t>
      </w:r>
      <w:r w:rsidR="00240942">
        <w:t xml:space="preserve">different support and </w:t>
      </w:r>
      <w:r w:rsidR="00A1381E">
        <w:t>workshops compared to non-participants (</w:t>
      </w:r>
      <w:r w:rsidR="00685271">
        <w:t xml:space="preserve">using </w:t>
      </w:r>
      <w:r w:rsidR="00A1381E">
        <w:t>match</w:t>
      </w:r>
      <w:r w:rsidR="00C2366C">
        <w:t>ed</w:t>
      </w:r>
      <w:r w:rsidR="00A1381E">
        <w:t xml:space="preserve"> comparison)</w:t>
      </w:r>
      <w:r w:rsidR="00C2366C">
        <w:t xml:space="preserve">. </w:t>
      </w:r>
      <w:r w:rsidR="006F4921">
        <w:t>K</w:t>
      </w:r>
      <w:r w:rsidR="002231E5">
        <w:t xml:space="preserve">ey informants </w:t>
      </w:r>
      <w:r w:rsidR="006F4921">
        <w:t>from two other case</w:t>
      </w:r>
      <w:r w:rsidR="0011552C">
        <w:t>s</w:t>
      </w:r>
      <w:r w:rsidR="006F4921">
        <w:t xml:space="preserve"> </w:t>
      </w:r>
      <w:r w:rsidR="00550B8B">
        <w:t xml:space="preserve">noted they </w:t>
      </w:r>
      <w:r w:rsidR="00D12E26">
        <w:t>may consider</w:t>
      </w:r>
      <w:r w:rsidR="00550B8B">
        <w:t xml:space="preserve"> </w:t>
      </w:r>
      <w:r w:rsidR="00D12E26">
        <w:t xml:space="preserve">if </w:t>
      </w:r>
      <w:r w:rsidR="00633748">
        <w:t>T</w:t>
      </w:r>
      <w:r w:rsidR="00550B8B">
        <w:t>ype 3 ev</w:t>
      </w:r>
      <w:r w:rsidR="00D12E26">
        <w:t xml:space="preserve">idence could be generated </w:t>
      </w:r>
      <w:r w:rsidR="00550B8B">
        <w:t>in future</w:t>
      </w:r>
      <w:r w:rsidR="006F4921">
        <w:t xml:space="preserve"> (subject to data </w:t>
      </w:r>
      <w:r w:rsidR="000411D1">
        <w:t>availability</w:t>
      </w:r>
      <w:r w:rsidR="006F4921">
        <w:t>)</w:t>
      </w:r>
      <w:r w:rsidR="00550B8B">
        <w:t xml:space="preserve">. </w:t>
      </w:r>
    </w:p>
    <w:p w14:paraId="133300CC" w14:textId="759E403A" w:rsidR="00337C8A" w:rsidRDefault="00BF3636" w:rsidP="00337C8A">
      <w:r>
        <w:t xml:space="preserve">There is a strong argument </w:t>
      </w:r>
      <w:r w:rsidR="00AB7548">
        <w:t xml:space="preserve">to be made that </w:t>
      </w:r>
      <w:r>
        <w:t xml:space="preserve">quasi-experimental designs </w:t>
      </w:r>
      <w:r w:rsidR="00B63FAA">
        <w:t xml:space="preserve">are a </w:t>
      </w:r>
      <w:r w:rsidR="00976FF3">
        <w:t>better</w:t>
      </w:r>
      <w:r w:rsidR="00B63FAA">
        <w:t xml:space="preserve"> design </w:t>
      </w:r>
      <w:r w:rsidR="00976FF3">
        <w:t xml:space="preserve">than RCTs </w:t>
      </w:r>
      <w:r w:rsidR="00B63FAA">
        <w:t>for</w:t>
      </w:r>
      <w:r>
        <w:t xml:space="preserve"> evaluating student outcomes in an educational context. </w:t>
      </w:r>
      <w:r w:rsidR="00111D21">
        <w:t>Firstly, t</w:t>
      </w:r>
      <w:r>
        <w:t xml:space="preserve">he main use for RCTs is to provide a control based on randomisation so that evaluators don’t have to worry about biases and extraneous factors. However, if evaluators knew enough about the problem being addressed to control well and had enough </w:t>
      </w:r>
      <w:proofErr w:type="gramStart"/>
      <w:r>
        <w:t>high quality</w:t>
      </w:r>
      <w:proofErr w:type="gramEnd"/>
      <w:r>
        <w:t xml:space="preserve"> data which allowed them to craft a good comparison group, then using </w:t>
      </w:r>
      <w:r w:rsidR="00DE5739">
        <w:t xml:space="preserve">a quasi-experimental method </w:t>
      </w:r>
      <w:r>
        <w:t xml:space="preserve">to craft a </w:t>
      </w:r>
      <w:r w:rsidR="00815484">
        <w:t xml:space="preserve">very good </w:t>
      </w:r>
      <w:r>
        <w:t>control might be possible</w:t>
      </w:r>
      <w:r w:rsidR="00815484">
        <w:t xml:space="preserve"> </w:t>
      </w:r>
      <w:r w:rsidR="00D96EF5">
        <w:t>to</w:t>
      </w:r>
      <w:r w:rsidR="00815484">
        <w:t xml:space="preserve"> elicit a</w:t>
      </w:r>
      <w:r w:rsidR="00D96EF5">
        <w:t xml:space="preserve"> very</w:t>
      </w:r>
      <w:r w:rsidR="00815484">
        <w:t xml:space="preserve"> strong impact evaluation design</w:t>
      </w:r>
      <w:r>
        <w:t xml:space="preserve">. </w:t>
      </w:r>
      <w:r w:rsidR="008865F5">
        <w:t xml:space="preserve">Secondly, </w:t>
      </w:r>
      <w:r w:rsidR="008865F5" w:rsidRPr="00DD6C8C">
        <w:t>qu</w:t>
      </w:r>
      <w:r w:rsidR="00DD6C8C">
        <w:t>as</w:t>
      </w:r>
      <w:r w:rsidR="008865F5" w:rsidRPr="00DD6C8C">
        <w:t xml:space="preserve">i-experimental </w:t>
      </w:r>
      <w:r w:rsidR="008865F5">
        <w:t xml:space="preserve">designs </w:t>
      </w:r>
      <w:r w:rsidR="00337C8A">
        <w:t xml:space="preserve">might also be more fit for purpose in terms of what the evaluation is trying to find out. </w:t>
      </w:r>
      <w:r w:rsidR="00094FF9">
        <w:t>For example, t</w:t>
      </w:r>
      <w:r w:rsidR="00B3263B">
        <w:t xml:space="preserve">here is scope for looking </w:t>
      </w:r>
      <w:r w:rsidR="00B95D1D">
        <w:t xml:space="preserve">at how engagement in </w:t>
      </w:r>
      <w:r w:rsidR="00111D21">
        <w:t>multiple activities affects the results, and</w:t>
      </w:r>
      <w:r w:rsidR="0060732F">
        <w:t>/or</w:t>
      </w:r>
      <w:r w:rsidR="00111D21">
        <w:t xml:space="preserve"> issues of dosage. </w:t>
      </w:r>
    </w:p>
    <w:p w14:paraId="26B254DF" w14:textId="77777777" w:rsidR="00337C8A" w:rsidRPr="006D6652" w:rsidRDefault="00337C8A" w:rsidP="00337C8A">
      <w:pPr>
        <w:ind w:left="720"/>
        <w:rPr>
          <w:i/>
          <w:iCs/>
        </w:rPr>
      </w:pPr>
      <w:r w:rsidRPr="00B40CE7">
        <w:rPr>
          <w:i/>
          <w:iCs/>
        </w:rPr>
        <w:t xml:space="preserve">As well as being resource/time intensive, you need a research question </w:t>
      </w:r>
      <w:r w:rsidRPr="00094803">
        <w:t xml:space="preserve">[for RCTs] </w:t>
      </w:r>
      <w:r w:rsidRPr="00B40CE7">
        <w:rPr>
          <w:i/>
          <w:iCs/>
        </w:rPr>
        <w:t xml:space="preserve">so specific it’s a challenge to get useful evaluation. The results of QED type evaluation are more </w:t>
      </w:r>
      <w:proofErr w:type="gramStart"/>
      <w:r w:rsidRPr="00B40CE7">
        <w:rPr>
          <w:i/>
          <w:iCs/>
        </w:rPr>
        <w:t>retrospective,</w:t>
      </w:r>
      <w:proofErr w:type="gramEnd"/>
      <w:r w:rsidRPr="00B40CE7">
        <w:rPr>
          <w:i/>
          <w:iCs/>
        </w:rPr>
        <w:t xml:space="preserve"> we need more flex there than just to test one hypothesis</w:t>
      </w:r>
      <w:r>
        <w:rPr>
          <w:i/>
          <w:iCs/>
        </w:rPr>
        <w:t xml:space="preserve">. </w:t>
      </w:r>
    </w:p>
    <w:p w14:paraId="1142DF69" w14:textId="7112DBEB" w:rsidR="006641A9" w:rsidRPr="00292134" w:rsidRDefault="008874EF" w:rsidP="009B07A3">
      <w:pPr>
        <w:rPr>
          <w:i/>
          <w:iCs/>
        </w:rPr>
      </w:pPr>
      <w:r w:rsidRPr="008874EF">
        <w:t xml:space="preserve">The potential for a difference in how different types of quasi-experimental evaluations </w:t>
      </w:r>
      <w:r w:rsidR="008E653D">
        <w:t xml:space="preserve">and other quantitative inferential designs (e.g. regression analysis) </w:t>
      </w:r>
      <w:r w:rsidRPr="008874EF">
        <w:t>might be categorised against the standards was highlighted</w:t>
      </w:r>
      <w:r w:rsidR="0013751D">
        <w:t xml:space="preserve"> in the research (</w:t>
      </w:r>
      <w:r w:rsidRPr="008874EF">
        <w:t>as a specific issue to be resolved</w:t>
      </w:r>
      <w:r w:rsidR="0013751D">
        <w:t>)</w:t>
      </w:r>
      <w:r w:rsidR="00AA2476">
        <w:t xml:space="preserve">. </w:t>
      </w:r>
      <w:r w:rsidR="009F6BAF">
        <w:t>The s</w:t>
      </w:r>
      <w:r w:rsidR="00F46A24">
        <w:t xml:space="preserve">ize of the dataset is </w:t>
      </w:r>
      <w:r w:rsidR="009F6BAF">
        <w:t>a</w:t>
      </w:r>
      <w:r w:rsidR="00F46A24">
        <w:t xml:space="preserve"> key consideration in the methods that should be applied</w:t>
      </w:r>
      <w:r w:rsidR="00466F18">
        <w:t>, raising additional questions about the most appropriate designs for small cohort interventions</w:t>
      </w:r>
      <w:r w:rsidR="00F46A24">
        <w:t xml:space="preserve">. </w:t>
      </w:r>
      <w:r w:rsidR="006641A9">
        <w:t xml:space="preserve">This conclusion reflects other research </w:t>
      </w:r>
      <w:r w:rsidR="00995593">
        <w:t xml:space="preserve">findings </w:t>
      </w:r>
      <w:r w:rsidR="006641A9">
        <w:t xml:space="preserve">into the </w:t>
      </w:r>
      <w:r w:rsidR="00995593">
        <w:t xml:space="preserve">efficacy of different kinds of methods, including </w:t>
      </w:r>
      <w:r w:rsidR="006641A9">
        <w:t xml:space="preserve">a TASO-funded </w:t>
      </w:r>
      <w:r w:rsidR="00976AC0">
        <w:t xml:space="preserve">study </w:t>
      </w:r>
      <w:r w:rsidR="006641A9">
        <w:t xml:space="preserve">which concluded that evaluation approaches specifically designed for small samples </w:t>
      </w:r>
      <w:r w:rsidR="00A337F1" w:rsidRPr="00DD6C8C">
        <w:t>would</w:t>
      </w:r>
      <w:r w:rsidR="00DD6C8C">
        <w:t xml:space="preserve"> be of </w:t>
      </w:r>
      <w:r w:rsidR="006641A9" w:rsidRPr="00DD6C8C">
        <w:t>higher</w:t>
      </w:r>
      <w:r w:rsidR="006641A9">
        <w:t xml:space="preserve"> relevance</w:t>
      </w:r>
      <w:r w:rsidR="00D87648">
        <w:t xml:space="preserve"> than experimental approaches</w:t>
      </w:r>
      <w:r w:rsidR="00E23737">
        <w:t>.</w:t>
      </w:r>
      <w:r w:rsidR="00166B32">
        <w:rPr>
          <w:rStyle w:val="FootnoteReference"/>
        </w:rPr>
        <w:footnoteReference w:id="12"/>
      </w:r>
      <w:r w:rsidR="006F252D">
        <w:t xml:space="preserve"> Suggestions for alternatives included</w:t>
      </w:r>
      <w:r w:rsidR="000011C5">
        <w:t>:</w:t>
      </w:r>
      <w:r w:rsidR="006F252D">
        <w:t xml:space="preserve"> theory-based approaches, contribution analysis, process tracing, or large-scale, deeper, and potentially mixed-methods process evaluation that explores every mechanism in the intervention’s theory of change with a diverse range of students, including those who choose not to engage with the offer</w:t>
      </w:r>
      <w:r w:rsidR="005157F4">
        <w:t xml:space="preserve"> (p.2)</w:t>
      </w:r>
      <w:r w:rsidR="006F252D">
        <w:t xml:space="preserve">. </w:t>
      </w:r>
      <w:r w:rsidR="004842E4">
        <w:t xml:space="preserve">The study points out the differences between focusing on the distant outcome (in the specific case these were </w:t>
      </w:r>
      <w:r w:rsidR="00243065">
        <w:t>progression to graduate jobs) and capturing the</w:t>
      </w:r>
      <w:r w:rsidR="006F252D">
        <w:t xml:space="preserve"> intermediate outcomes </w:t>
      </w:r>
      <w:r w:rsidR="00243065">
        <w:t xml:space="preserve">(in the specific case these were </w:t>
      </w:r>
      <w:r w:rsidR="006F252D">
        <w:t>around self-belief, self-advocacy</w:t>
      </w:r>
      <w:r w:rsidR="00243065">
        <w:t xml:space="preserve"> </w:t>
      </w:r>
      <w:r w:rsidR="006F252D">
        <w:t>and employment-seeking practices</w:t>
      </w:r>
      <w:r w:rsidR="00243065">
        <w:t xml:space="preserve">). </w:t>
      </w:r>
      <w:r w:rsidR="00EE30C1">
        <w:t xml:space="preserve">Taking different kinds of evidence together might allow for </w:t>
      </w:r>
      <w:r w:rsidR="006F252D">
        <w:t>deep</w:t>
      </w:r>
      <w:r w:rsidR="00472273">
        <w:t>er</w:t>
      </w:r>
      <w:r w:rsidR="006F252D">
        <w:t xml:space="preserve"> understanding</w:t>
      </w:r>
      <w:r w:rsidR="00472273">
        <w:t>.</w:t>
      </w:r>
    </w:p>
    <w:p w14:paraId="1479275C" w14:textId="36D919F7" w:rsidR="001244B8" w:rsidRDefault="00494F91" w:rsidP="001244B8">
      <w:r>
        <w:t>Furthermore, c</w:t>
      </w:r>
      <w:r w:rsidR="001244B8">
        <w:t xml:space="preserve">omments from the field highlight the need to combine different approaches to evaluation that maximise the potential for learning about why things work as well as what works. Understanding the why as well as the what was implicit in </w:t>
      </w:r>
      <w:r w:rsidR="00216645">
        <w:t xml:space="preserve">comments from </w:t>
      </w:r>
      <w:r w:rsidR="001244B8">
        <w:t>key informants of w</w:t>
      </w:r>
      <w:r w:rsidR="0012429E">
        <w:t>hat</w:t>
      </w:r>
      <w:r w:rsidR="001244B8">
        <w:t xml:space="preserve"> counts as good impact evaluation. </w:t>
      </w:r>
    </w:p>
    <w:p w14:paraId="7FADF965" w14:textId="0705643A" w:rsidR="001244B8" w:rsidRPr="00337C8A" w:rsidRDefault="001244B8" w:rsidP="00337C8A">
      <w:pPr>
        <w:ind w:left="567"/>
        <w:rPr>
          <w:i/>
          <w:iCs/>
        </w:rPr>
      </w:pPr>
      <w:r w:rsidRPr="00FD2F65">
        <w:rPr>
          <w:i/>
          <w:iCs/>
        </w:rPr>
        <w:t xml:space="preserve">Even if we do this </w:t>
      </w:r>
      <w:r w:rsidRPr="00032112">
        <w:t>[RCT]</w:t>
      </w:r>
      <w:r w:rsidRPr="00FD2F65">
        <w:rPr>
          <w:i/>
          <w:iCs/>
        </w:rPr>
        <w:t xml:space="preserve"> </w:t>
      </w:r>
      <w:proofErr w:type="gramStart"/>
      <w:r w:rsidRPr="00FD2F65">
        <w:rPr>
          <w:i/>
          <w:iCs/>
        </w:rPr>
        <w:t>actually the</w:t>
      </w:r>
      <w:proofErr w:type="gramEnd"/>
      <w:r w:rsidRPr="00FD2F65">
        <w:rPr>
          <w:i/>
          <w:iCs/>
        </w:rPr>
        <w:t xml:space="preserve"> implementation and process side is so important because if we get a null result, we want to at least understand how and why. A stand-alone causal evaluation could </w:t>
      </w:r>
      <w:proofErr w:type="gramStart"/>
      <w:r w:rsidRPr="00FD2F65">
        <w:rPr>
          <w:i/>
          <w:iCs/>
        </w:rPr>
        <w:t>actually be</w:t>
      </w:r>
      <w:proofErr w:type="gramEnd"/>
      <w:r w:rsidRPr="00FD2F65">
        <w:rPr>
          <w:i/>
          <w:iCs/>
        </w:rPr>
        <w:t xml:space="preserve"> </w:t>
      </w:r>
      <w:proofErr w:type="gramStart"/>
      <w:r w:rsidRPr="00FD2F65">
        <w:rPr>
          <w:i/>
          <w:iCs/>
        </w:rPr>
        <w:t xml:space="preserve">really </w:t>
      </w:r>
      <w:r w:rsidR="007271CB" w:rsidRPr="00FD2F65">
        <w:rPr>
          <w:i/>
          <w:iCs/>
        </w:rPr>
        <w:t>unhelpful</w:t>
      </w:r>
      <w:proofErr w:type="gramEnd"/>
      <w:r w:rsidR="007271CB" w:rsidRPr="00FD2F65">
        <w:rPr>
          <w:i/>
          <w:iCs/>
        </w:rPr>
        <w:t xml:space="preserve"> because</w:t>
      </w:r>
      <w:r w:rsidRPr="00FD2F65">
        <w:rPr>
          <w:i/>
          <w:iCs/>
        </w:rPr>
        <w:t xml:space="preserve"> it makes it look like something doesn't work. But why doesn't it work? Is it to do with the context? Is it to do with how it's implemented? Is it to do with challenges along the way? the timing? All that stuff is so important and that knowledge is what we need to generate. </w:t>
      </w:r>
    </w:p>
    <w:p w14:paraId="5045A2D5" w14:textId="62F2C5D6" w:rsidR="001244B8" w:rsidRDefault="001244B8" w:rsidP="001244B8">
      <w:r>
        <w:t>Overall, the ‘small steps’ approach to evaluation (Harrison and Waller, 201</w:t>
      </w:r>
      <w:r w:rsidR="00505816">
        <w:t>7</w:t>
      </w:r>
      <w:r>
        <w:t>)</w:t>
      </w:r>
      <w:r w:rsidR="00505816">
        <w:rPr>
          <w:rStyle w:val="FootnoteReference"/>
        </w:rPr>
        <w:footnoteReference w:id="13"/>
      </w:r>
      <w:r>
        <w:t xml:space="preserve"> is perhaps a more intuitive approach to evaluation evidence strengthening amongst practitioners in the field. Key informants said </w:t>
      </w:r>
      <w:r w:rsidR="006259B3">
        <w:t xml:space="preserve">they </w:t>
      </w:r>
      <w:r>
        <w:lastRenderedPageBreak/>
        <w:t xml:space="preserve">would like to see more practical guidance on how to improve within the type of evaluation that they are already doing. More practical help and support for evaluation strengthening within each type of evaluation was a </w:t>
      </w:r>
      <w:r w:rsidR="00CE3CB1">
        <w:t xml:space="preserve">strong </w:t>
      </w:r>
      <w:r>
        <w:t xml:space="preserve">recommendation from </w:t>
      </w:r>
      <w:r w:rsidR="00411C93">
        <w:t>key informants</w:t>
      </w:r>
      <w:r>
        <w:t xml:space="preserve">. </w:t>
      </w:r>
    </w:p>
    <w:p w14:paraId="1A84AB0F" w14:textId="53875379" w:rsidR="001244B8" w:rsidRPr="003B2D84" w:rsidRDefault="001244B8" w:rsidP="001244B8">
      <w:pPr>
        <w:ind w:left="567"/>
        <w:rPr>
          <w:i/>
          <w:iCs/>
        </w:rPr>
      </w:pPr>
      <w:r>
        <w:rPr>
          <w:i/>
          <w:iCs/>
        </w:rPr>
        <w:t>I</w:t>
      </w:r>
      <w:r w:rsidRPr="00356A3D">
        <w:rPr>
          <w:i/>
          <w:iCs/>
        </w:rPr>
        <w:t>t's the idea of you're better doing something and doing it very well th</w:t>
      </w:r>
      <w:r>
        <w:rPr>
          <w:i/>
          <w:iCs/>
        </w:rPr>
        <w:t>a</w:t>
      </w:r>
      <w:r w:rsidRPr="00356A3D">
        <w:rPr>
          <w:i/>
          <w:iCs/>
        </w:rPr>
        <w:t xml:space="preserve">n doing something that's too ambitious and failing. Yeah, because I’m </w:t>
      </w:r>
      <w:proofErr w:type="gramStart"/>
      <w:r w:rsidRPr="00356A3D">
        <w:rPr>
          <w:i/>
          <w:iCs/>
        </w:rPr>
        <w:t>really worried</w:t>
      </w:r>
      <w:proofErr w:type="gramEnd"/>
      <w:r w:rsidRPr="00356A3D">
        <w:rPr>
          <w:i/>
          <w:iCs/>
        </w:rPr>
        <w:t xml:space="preserve"> if we ineffectively run RCTs it’s going to do nothing for anything. It's not really useful, whereas, say, a survey where people are really focused on ensuring the response rate and meaningful analysis and they've sampled appropriately and all of that kind of stuff, so little pockets of knowledge and building that capacity</w:t>
      </w:r>
      <w:r>
        <w:rPr>
          <w:i/>
          <w:iCs/>
        </w:rPr>
        <w:t>,</w:t>
      </w:r>
      <w:r w:rsidRPr="00356A3D">
        <w:rPr>
          <w:i/>
          <w:iCs/>
        </w:rPr>
        <w:t xml:space="preserve"> I think </w:t>
      </w:r>
      <w:r>
        <w:rPr>
          <w:i/>
          <w:iCs/>
        </w:rPr>
        <w:t xml:space="preserve">are </w:t>
      </w:r>
      <w:r w:rsidRPr="00356A3D">
        <w:rPr>
          <w:i/>
          <w:iCs/>
        </w:rPr>
        <w:t>really</w:t>
      </w:r>
      <w:r w:rsidR="008C1F0B">
        <w:rPr>
          <w:i/>
          <w:iCs/>
        </w:rPr>
        <w:t xml:space="preserve"> </w:t>
      </w:r>
      <w:r w:rsidRPr="00356A3D">
        <w:rPr>
          <w:i/>
          <w:iCs/>
        </w:rPr>
        <w:t xml:space="preserve">important and I think that's where there's a gap in the sector. </w:t>
      </w:r>
    </w:p>
    <w:p w14:paraId="2EE8EF62" w14:textId="2463F5E2" w:rsidR="002E78A6" w:rsidRDefault="004A419C" w:rsidP="001244B8">
      <w:r>
        <w:t xml:space="preserve">Clarity of what counts as good evidence to back up claims is especially important given the focus on external publication of evidence. </w:t>
      </w:r>
      <w:r w:rsidR="001244B8">
        <w:t>Understanding th</w:t>
      </w:r>
      <w:r w:rsidR="007046E4">
        <w:t>at</w:t>
      </w:r>
      <w:r w:rsidR="001244B8">
        <w:t xml:space="preserve"> weaker and stronger designs are possible within </w:t>
      </w:r>
      <w:r w:rsidR="00CA638F">
        <w:t>each</w:t>
      </w:r>
      <w:r w:rsidR="001244B8">
        <w:t xml:space="preserve"> type of evidence is important as a tool for evaluation strengthening. </w:t>
      </w:r>
      <w:r w:rsidR="002E78A6">
        <w:t xml:space="preserve">As conceived within the original standards guidance, the framework does not see the </w:t>
      </w:r>
      <w:r w:rsidR="006E144C">
        <w:t xml:space="preserve">evidence </w:t>
      </w:r>
      <w:r w:rsidR="002E78A6">
        <w:t xml:space="preserve">types as separate and discrete. The typology is designed to be cumulative and complementary as part of a layered approach to building the evidence base </w:t>
      </w:r>
      <w:proofErr w:type="gramStart"/>
      <w:r w:rsidR="002E78A6">
        <w:t>in order to</w:t>
      </w:r>
      <w:proofErr w:type="gramEnd"/>
      <w:r w:rsidR="002E78A6">
        <w:t xml:space="preserve"> support evidence-based decision making that would proceed through cycles over time and would complement other types of evidence from process evaluation, practitioner expertise and insights, and insights from research and theory.</w:t>
      </w:r>
    </w:p>
    <w:p w14:paraId="6EA32494" w14:textId="4256AB0B" w:rsidR="001244B8" w:rsidRDefault="00CE3A18" w:rsidP="001244B8">
      <w:r>
        <w:t>H</w:t>
      </w:r>
      <w:r w:rsidR="001244B8">
        <w:t xml:space="preserve">aving a clear common sector-wide consensus by which to understand the ‘strongest’ impact evaluations </w:t>
      </w:r>
      <w:r w:rsidR="00284B27">
        <w:t>i</w:t>
      </w:r>
      <w:r>
        <w:t>s desirable</w:t>
      </w:r>
      <w:r w:rsidR="008D702C">
        <w:t xml:space="preserve">; how this is </w:t>
      </w:r>
      <w:r w:rsidR="001244B8">
        <w:t xml:space="preserve">conceptualised </w:t>
      </w:r>
      <w:r w:rsidR="009E2D79">
        <w:t xml:space="preserve">is central to the ways in which </w:t>
      </w:r>
      <w:r w:rsidR="001244B8">
        <w:t xml:space="preserve">APP evaluations </w:t>
      </w:r>
      <w:r w:rsidR="009E2D79">
        <w:t xml:space="preserve">might </w:t>
      </w:r>
      <w:r w:rsidR="001244B8">
        <w:t xml:space="preserve">inform sector-wide knowledge development as well as for localised decision-making </w:t>
      </w:r>
      <w:r w:rsidR="009E2D79">
        <w:t xml:space="preserve">going forward </w:t>
      </w:r>
      <w:r w:rsidR="001244B8">
        <w:t xml:space="preserve">(discussed in </w:t>
      </w:r>
      <w:r w:rsidR="002B03D1">
        <w:t>S</w:t>
      </w:r>
      <w:r w:rsidR="001244B8">
        <w:t xml:space="preserve">ection </w:t>
      </w:r>
      <w:r w:rsidR="00D34328">
        <w:t>5</w:t>
      </w:r>
      <w:r w:rsidR="001244B8">
        <w:t>).</w:t>
      </w:r>
    </w:p>
    <w:p w14:paraId="585A7D2F" w14:textId="35E763DA" w:rsidR="00672EAF" w:rsidRDefault="00672EAF" w:rsidP="00AE610F">
      <w:pPr>
        <w:pStyle w:val="Heading2"/>
      </w:pPr>
      <w:bookmarkStart w:id="52" w:name="_Toc205504264"/>
      <w:r>
        <w:t>Complementarity of impact and process evidence</w:t>
      </w:r>
      <w:bookmarkEnd w:id="52"/>
    </w:p>
    <w:p w14:paraId="228156AF" w14:textId="77777777" w:rsidR="00672EAF" w:rsidRDefault="00672EAF" w:rsidP="00672EAF">
      <w:r>
        <w:t>How process and impact evaluation feed into each other as part of evidence-informed decision making in practice was a theme emerging from some key informants: with the suggestion that the knowledge and understanding built up on the implementation and process side was not only important to contextualise the results, but when used together with impact evidence added to the strength of evidence on which to base decisions. The question then for guidance on using the standards of evidence is whether evidence from implementation and process evaluation is supported within the definition of Type 1 evidence. This type of underpinning knowledge can play a key role in contributing to the narrative that is being built up about what works. This type of evidence also informs the interpretation of the results of subsequent types of evidence (for example being able to test the fidelity of the implementation and delivery approach when assessing the impacts of a programme).</w:t>
      </w:r>
    </w:p>
    <w:p w14:paraId="56E72C8C" w14:textId="77777777" w:rsidR="00672EAF" w:rsidRPr="00744ED7" w:rsidRDefault="00672EAF" w:rsidP="00744ED7">
      <w:pPr>
        <w:ind w:left="426"/>
        <w:rPr>
          <w:i/>
          <w:iCs/>
        </w:rPr>
      </w:pPr>
      <w:r w:rsidRPr="00744ED7">
        <w:rPr>
          <w:i/>
          <w:iCs/>
        </w:rPr>
        <w:t xml:space="preserve">You can’t ever get away from process [evaluation] because it has an impact on the impact. How they [students] experience the activity. </w:t>
      </w:r>
    </w:p>
    <w:p w14:paraId="21360A0A" w14:textId="77777777" w:rsidR="0054478B" w:rsidRDefault="00672EAF" w:rsidP="0054478B">
      <w:pPr>
        <w:ind w:left="426"/>
        <w:rPr>
          <w:i/>
          <w:iCs/>
        </w:rPr>
      </w:pPr>
      <w:proofErr w:type="gramStart"/>
      <w:r w:rsidRPr="00744ED7">
        <w:rPr>
          <w:i/>
          <w:iCs/>
        </w:rPr>
        <w:t>Yes</w:t>
      </w:r>
      <w:proofErr w:type="gramEnd"/>
      <w:r w:rsidRPr="00744ED7">
        <w:rPr>
          <w:i/>
          <w:iCs/>
        </w:rPr>
        <w:t xml:space="preserve"> it’s a challenge to make claims on a small number of respondents and a focus group, but it’s still useful learning. Of course you need to be careful on conclusions, and it’s contextualised. Standards are valorising a difference – but what about use of evaluation in context – making our teams more efficient and impactful – redirecting resource to where they’re more efficient. </w:t>
      </w:r>
    </w:p>
    <w:p w14:paraId="395138E5" w14:textId="4BC0096A" w:rsidR="00672EAF" w:rsidRPr="0054478B" w:rsidRDefault="00672EAF" w:rsidP="0054478B">
      <w:pPr>
        <w:ind w:left="426"/>
        <w:rPr>
          <w:i/>
          <w:iCs/>
        </w:rPr>
      </w:pPr>
      <w:r w:rsidRPr="0054478B">
        <w:rPr>
          <w:i/>
          <w:iCs/>
        </w:rPr>
        <w:t>Sufficient data to measure outcomes should be prioritised but if you’re unlikely to yield that type of data then you need to look at what’s being delivered and process monitoring. You’ll not get data on self-efficacy [the outcome] if no one turned up – maybe for marketing reasons etc, or whatever. You still need to know how many other initiatives are being delivered, what’s the saturation of opportunities, and to test that - using data – but that’s not the type of outcomes that the standards imply.</w:t>
      </w:r>
    </w:p>
    <w:p w14:paraId="7C007EFB" w14:textId="77777777" w:rsidR="00672EAF" w:rsidRDefault="00672EAF" w:rsidP="00672EAF">
      <w:r>
        <w:t xml:space="preserve">Certainly, the sense emerged from key informants that using different types of evidence in combination can boost the opportunity for knowledge creation and practice learning. More guidance would be welcomed on how impact evaluation can be supported by other evidence. </w:t>
      </w:r>
    </w:p>
    <w:p w14:paraId="3D8DC0F2" w14:textId="3A146290" w:rsidR="00672EAF" w:rsidRPr="00744ED7" w:rsidRDefault="00672EAF" w:rsidP="00744ED7">
      <w:pPr>
        <w:ind w:left="432"/>
        <w:rPr>
          <w:i/>
          <w:iCs/>
        </w:rPr>
      </w:pPr>
      <w:proofErr w:type="gramStart"/>
      <w:r w:rsidRPr="00744ED7">
        <w:rPr>
          <w:i/>
          <w:iCs/>
        </w:rPr>
        <w:t>Actually</w:t>
      </w:r>
      <w:proofErr w:type="gramEnd"/>
      <w:r w:rsidRPr="00744ED7">
        <w:rPr>
          <w:i/>
          <w:iCs/>
        </w:rPr>
        <w:t xml:space="preserve"> understanding why something works is </w:t>
      </w:r>
      <w:proofErr w:type="gramStart"/>
      <w:r w:rsidRPr="00744ED7">
        <w:rPr>
          <w:i/>
          <w:iCs/>
        </w:rPr>
        <w:t>really important</w:t>
      </w:r>
      <w:proofErr w:type="gramEnd"/>
      <w:r w:rsidRPr="00744ED7">
        <w:rPr>
          <w:i/>
          <w:iCs/>
        </w:rPr>
        <w:t xml:space="preserve"> in a Type 3 evaluation. I think sometimes it does get </w:t>
      </w:r>
      <w:proofErr w:type="gramStart"/>
      <w:r w:rsidRPr="00744ED7">
        <w:rPr>
          <w:i/>
          <w:iCs/>
        </w:rPr>
        <w:t>lost</w:t>
      </w:r>
      <w:proofErr w:type="gramEnd"/>
      <w:r w:rsidRPr="00744ED7">
        <w:rPr>
          <w:i/>
          <w:iCs/>
        </w:rPr>
        <w:t xml:space="preserve"> and I don't think although they do run the IPE [implementation and process evaluation] alongside an RCT, some of their narrative leans towards interpreting IPE or as a Type 1 or as a narrative and yeah, that's something that could maybe do with some unpacking. So maybe, some kind of unpicking of how they can have overlap and how they interact with each other and the complementarity.</w:t>
      </w:r>
    </w:p>
    <w:p w14:paraId="0A76B5F6" w14:textId="3169630E" w:rsidR="004B6321" w:rsidRDefault="009C652B" w:rsidP="00AB4665">
      <w:pPr>
        <w:pStyle w:val="Heading1"/>
      </w:pPr>
      <w:bookmarkStart w:id="53" w:name="_Toc205504265"/>
      <w:r>
        <w:lastRenderedPageBreak/>
        <w:t>THE EVOLVING C</w:t>
      </w:r>
      <w:r w:rsidR="0095238A">
        <w:t>ONTEXT FOR IMPACT EVALUATION</w:t>
      </w:r>
      <w:bookmarkEnd w:id="53"/>
      <w:r w:rsidR="004B6321">
        <w:t xml:space="preserve"> </w:t>
      </w:r>
    </w:p>
    <w:p w14:paraId="018F0E4C" w14:textId="77777777" w:rsidR="0026778F" w:rsidRDefault="0026778F" w:rsidP="00C0191E">
      <w:r>
        <w:t xml:space="preserve">This section discusses trends in higher education and the context for access and participation and the implications for impact evaluation, which we define as </w:t>
      </w:r>
      <w:r w:rsidRPr="003B5FD3">
        <w:t>the systematic assessment of whether an intervention</w:t>
      </w:r>
      <w:r>
        <w:t xml:space="preserve"> </w:t>
      </w:r>
      <w:r w:rsidRPr="003B5FD3">
        <w:t>has made a measurable difference in outcomes for students</w:t>
      </w:r>
      <w:r>
        <w:t xml:space="preserve">. Observations are made on the implications for evidence generation and potential areas needing further guidance. </w:t>
      </w:r>
    </w:p>
    <w:p w14:paraId="3E21EBD7" w14:textId="529A3924" w:rsidR="00D16E9A" w:rsidRDefault="00722E91" w:rsidP="00C0191E">
      <w:r>
        <w:t>The latest round of Access and Participation Plans (APPs) ha</w:t>
      </w:r>
      <w:r w:rsidR="00486BB8">
        <w:t>s</w:t>
      </w:r>
      <w:r>
        <w:t xml:space="preserve"> agreed the strategies and activities providers will take to address risks to equality of opportunity</w:t>
      </w:r>
      <w:r w:rsidR="009D1E62">
        <w:t xml:space="preserve">. </w:t>
      </w:r>
      <w:r w:rsidR="003E6950">
        <w:t>T</w:t>
      </w:r>
      <w:r w:rsidR="00E31067">
        <w:t>he</w:t>
      </w:r>
      <w:r w:rsidR="00527E40">
        <w:t xml:space="preserve"> </w:t>
      </w:r>
      <w:proofErr w:type="gramStart"/>
      <w:r w:rsidR="00527E40">
        <w:t>risk based</w:t>
      </w:r>
      <w:proofErr w:type="gramEnd"/>
      <w:r w:rsidR="00527E40">
        <w:t xml:space="preserve"> approach </w:t>
      </w:r>
      <w:r w:rsidR="003E6950">
        <w:t>ad</w:t>
      </w:r>
      <w:r w:rsidR="006E4E8B">
        <w:t xml:space="preserve">opted in the </w:t>
      </w:r>
      <w:r w:rsidR="00527E40">
        <w:t xml:space="preserve">APPs has put the focus on the </w:t>
      </w:r>
      <w:r w:rsidR="005E7BCB">
        <w:t xml:space="preserve">institutional risks and the </w:t>
      </w:r>
      <w:r w:rsidR="00527E40">
        <w:t>experience of students</w:t>
      </w:r>
      <w:r w:rsidR="0096018A">
        <w:t xml:space="preserve">. </w:t>
      </w:r>
      <w:r w:rsidR="004063DA">
        <w:t xml:space="preserve">APPs set out how </w:t>
      </w:r>
      <w:r w:rsidR="0020628C">
        <w:t xml:space="preserve">the </w:t>
      </w:r>
      <w:r w:rsidR="004063DA">
        <w:t>impact</w:t>
      </w:r>
      <w:r w:rsidR="0020628C">
        <w:t xml:space="preserve">s - </w:t>
      </w:r>
      <w:r w:rsidR="0096018A">
        <w:t xml:space="preserve">in terms of the </w:t>
      </w:r>
      <w:r w:rsidR="00B87F20">
        <w:t>benefits for individuals and groups in achieving equity outcomes</w:t>
      </w:r>
      <w:r w:rsidR="0020628C">
        <w:t xml:space="preserve"> -</w:t>
      </w:r>
      <w:r w:rsidR="00B87F20">
        <w:t xml:space="preserve"> </w:t>
      </w:r>
      <w:r w:rsidR="004063DA">
        <w:t xml:space="preserve">will be evaluated over a </w:t>
      </w:r>
      <w:proofErr w:type="gramStart"/>
      <w:r w:rsidR="004063DA">
        <w:t>four year</w:t>
      </w:r>
      <w:proofErr w:type="gramEnd"/>
      <w:r w:rsidR="004063DA">
        <w:t xml:space="preserve"> period, </w:t>
      </w:r>
      <w:r w:rsidR="00527E40">
        <w:t xml:space="preserve">working towards </w:t>
      </w:r>
      <w:r w:rsidR="00057606">
        <w:t xml:space="preserve">institutional level </w:t>
      </w:r>
      <w:r w:rsidR="004063DA">
        <w:t xml:space="preserve">accountability </w:t>
      </w:r>
      <w:r w:rsidR="00163521">
        <w:t>targets</w:t>
      </w:r>
      <w:r w:rsidR="00527E40">
        <w:t xml:space="preserve"> which are embedded in gaps analysis </w:t>
      </w:r>
      <w:r w:rsidR="00B91EA0">
        <w:t>a</w:t>
      </w:r>
      <w:r w:rsidR="00163521">
        <w:t xml:space="preserve">longside </w:t>
      </w:r>
      <w:r w:rsidR="00527E40">
        <w:t>intervention-specific outcomes and impacts.</w:t>
      </w:r>
      <w:r w:rsidR="00E31067">
        <w:t xml:space="preserve"> </w:t>
      </w:r>
      <w:r w:rsidR="00841615">
        <w:t>Within the Intervention Strategy approach t</w:t>
      </w:r>
      <w:r w:rsidR="00050140">
        <w:t xml:space="preserve">here is </w:t>
      </w:r>
      <w:r w:rsidR="002E7667">
        <w:t>more emphasis tha</w:t>
      </w:r>
      <w:r w:rsidR="00DE18E3">
        <w:t>n</w:t>
      </w:r>
      <w:r w:rsidR="002E7667">
        <w:t xml:space="preserve"> </w:t>
      </w:r>
      <w:r w:rsidR="00DE18E3">
        <w:t xml:space="preserve">perhaps </w:t>
      </w:r>
      <w:r w:rsidR="002E7667">
        <w:t>previously on lining up the contribution of different strand</w:t>
      </w:r>
      <w:r w:rsidR="008C3329">
        <w:t>s</w:t>
      </w:r>
      <w:r w:rsidR="002E7667">
        <w:t xml:space="preserve"> of work to </w:t>
      </w:r>
      <w:r w:rsidR="00057606">
        <w:t>the</w:t>
      </w:r>
      <w:r w:rsidR="008C3329">
        <w:t xml:space="preserve"> overall</w:t>
      </w:r>
      <w:r w:rsidR="002E7667">
        <w:t xml:space="preserve"> </w:t>
      </w:r>
      <w:proofErr w:type="gramStart"/>
      <w:r w:rsidR="002E7667">
        <w:t>long</w:t>
      </w:r>
      <w:r w:rsidR="008C3329">
        <w:t>er</w:t>
      </w:r>
      <w:r w:rsidR="002E7667">
        <w:t xml:space="preserve"> term</w:t>
      </w:r>
      <w:proofErr w:type="gramEnd"/>
      <w:r w:rsidR="002E7667">
        <w:t xml:space="preserve"> </w:t>
      </w:r>
      <w:r w:rsidR="00981D54">
        <w:t>objective/</w:t>
      </w:r>
      <w:r w:rsidR="002E7667">
        <w:t xml:space="preserve">target. </w:t>
      </w:r>
      <w:r w:rsidR="00C811C9">
        <w:t xml:space="preserve">Providers were asked to share their evaluation plans and </w:t>
      </w:r>
      <w:r w:rsidR="00FE08F4">
        <w:t>indicate the type of</w:t>
      </w:r>
      <w:r w:rsidR="00C811C9">
        <w:t xml:space="preserve"> evaluation they were planning to use base</w:t>
      </w:r>
      <w:r w:rsidR="00FE08F4">
        <w:t>d</w:t>
      </w:r>
      <w:r w:rsidR="00C811C9">
        <w:t xml:space="preserve"> on the</w:t>
      </w:r>
      <w:r w:rsidR="005446AE">
        <w:t xml:space="preserve"> standards of evidence.</w:t>
      </w:r>
      <w:r w:rsidR="00C17644">
        <w:t xml:space="preserve"> Dissemination commitments are </w:t>
      </w:r>
      <w:r w:rsidR="00C17644" w:rsidRPr="009D1E62">
        <w:t>included</w:t>
      </w:r>
      <w:r w:rsidR="00C17644">
        <w:t xml:space="preserve"> in APPs, although there is no</w:t>
      </w:r>
      <w:r w:rsidR="00C17644" w:rsidRPr="009D1E62">
        <w:t xml:space="preserve"> set expectation on </w:t>
      </w:r>
      <w:r w:rsidR="00C17644">
        <w:t xml:space="preserve">when and how providers should </w:t>
      </w:r>
      <w:r w:rsidR="00C17644" w:rsidRPr="009D1E62">
        <w:t xml:space="preserve">publish </w:t>
      </w:r>
      <w:r w:rsidR="00C17644">
        <w:t xml:space="preserve">their </w:t>
      </w:r>
      <w:r w:rsidR="00C17644" w:rsidRPr="009D1E62">
        <w:t>evaluation findings</w:t>
      </w:r>
      <w:r w:rsidR="00C17644">
        <w:t>.</w:t>
      </w:r>
    </w:p>
    <w:p w14:paraId="06873F8E" w14:textId="5A7426B2" w:rsidR="00AA6B0E" w:rsidRDefault="00CA1ED3" w:rsidP="0094753F">
      <w:r>
        <w:t>The context of the new APPs means that APP evaluation faces some new challenges - and opportunities - that were less at the forefront in 2017 when the standards of evidence guidance was produced. D</w:t>
      </w:r>
      <w:r w:rsidR="00C0191E">
        <w:t>ilemmas for impact evaluation</w:t>
      </w:r>
      <w:r>
        <w:t xml:space="preserve"> </w:t>
      </w:r>
      <w:r w:rsidR="00C0191E">
        <w:t>are identifie</w:t>
      </w:r>
      <w:r w:rsidR="0098288D">
        <w:t>d</w:t>
      </w:r>
      <w:r w:rsidR="00091A3D">
        <w:t xml:space="preserve"> below. </w:t>
      </w:r>
      <w:r w:rsidR="00C3016C">
        <w:t>The finding</w:t>
      </w:r>
      <w:r w:rsidR="00091A3D">
        <w:t>s</w:t>
      </w:r>
      <w:r w:rsidR="00C3016C">
        <w:t xml:space="preserve"> are based on the research </w:t>
      </w:r>
      <w:r w:rsidR="00F0184B">
        <w:t xml:space="preserve">with </w:t>
      </w:r>
      <w:r w:rsidR="001A00C9">
        <w:t xml:space="preserve">carefully selected </w:t>
      </w:r>
      <w:r w:rsidR="00F0184B">
        <w:t>key informants</w:t>
      </w:r>
      <w:r w:rsidR="00C3016C">
        <w:t xml:space="preserve"> </w:t>
      </w:r>
      <w:r w:rsidR="001A00C9">
        <w:t>enabling</w:t>
      </w:r>
      <w:r w:rsidR="00C3016C">
        <w:t xml:space="preserve"> general </w:t>
      </w:r>
      <w:r w:rsidR="00333CDF">
        <w:t>conclusions</w:t>
      </w:r>
      <w:r w:rsidR="00C3016C">
        <w:t xml:space="preserve"> </w:t>
      </w:r>
      <w:r w:rsidR="001A00C9">
        <w:t xml:space="preserve">to be drawn </w:t>
      </w:r>
      <w:r w:rsidR="00C3016C">
        <w:t xml:space="preserve">about relevant trends within </w:t>
      </w:r>
      <w:r w:rsidR="00D15B55">
        <w:t xml:space="preserve">the sector. </w:t>
      </w:r>
    </w:p>
    <w:tbl>
      <w:tblPr>
        <w:tblStyle w:val="TableGrid"/>
        <w:tblW w:w="0" w:type="auto"/>
        <w:tblLook w:val="04A0" w:firstRow="1" w:lastRow="0" w:firstColumn="1" w:lastColumn="0" w:noHBand="0" w:noVBand="1"/>
      </w:tblPr>
      <w:tblGrid>
        <w:gridCol w:w="9634"/>
      </w:tblGrid>
      <w:tr w:rsidR="00DD28FF" w14:paraId="28EEB1CA" w14:textId="77777777" w:rsidTr="00AB4665">
        <w:tc>
          <w:tcPr>
            <w:tcW w:w="9634" w:type="dxa"/>
          </w:tcPr>
          <w:p w14:paraId="6DA6F872" w14:textId="77777777" w:rsidR="00DD28FF" w:rsidRPr="00803B34" w:rsidRDefault="00DD28FF" w:rsidP="001D4818">
            <w:pPr>
              <w:spacing w:after="80"/>
              <w:rPr>
                <w:i/>
                <w:iCs/>
              </w:rPr>
            </w:pPr>
            <w:r w:rsidRPr="00803B34">
              <w:rPr>
                <w:i/>
                <w:iCs/>
              </w:rPr>
              <w:t>Key findings</w:t>
            </w:r>
          </w:p>
          <w:p w14:paraId="1B6EF9CF" w14:textId="77777777" w:rsidR="00941930" w:rsidRDefault="00DD28FF" w:rsidP="00941930">
            <w:pPr>
              <w:pStyle w:val="Box"/>
            </w:pPr>
            <w:r>
              <w:t xml:space="preserve">Developments in the </w:t>
            </w:r>
            <w:r w:rsidR="001A00C9">
              <w:t>context</w:t>
            </w:r>
            <w:r w:rsidR="00D02904">
              <w:t xml:space="preserve"> and wider and trends in higher education</w:t>
            </w:r>
            <w:r w:rsidR="006F404D">
              <w:t xml:space="preserve"> for</w:t>
            </w:r>
            <w:r>
              <w:t xml:space="preserve"> access and participation work</w:t>
            </w:r>
            <w:r w:rsidR="00D02904">
              <w:t xml:space="preserve"> </w:t>
            </w:r>
            <w:r>
              <w:t xml:space="preserve">which </w:t>
            </w:r>
            <w:r w:rsidR="00D02904">
              <w:t>came</w:t>
            </w:r>
            <w:r>
              <w:t xml:space="preserve"> into place with the new APPs, </w:t>
            </w:r>
            <w:r w:rsidR="001D4818">
              <w:t xml:space="preserve">have implications for </w:t>
            </w:r>
            <w:r w:rsidRPr="00980054">
              <w:t xml:space="preserve">the </w:t>
            </w:r>
            <w:r w:rsidR="00FE08F4">
              <w:t xml:space="preserve">current </w:t>
            </w:r>
            <w:r w:rsidR="00816D2C">
              <w:t xml:space="preserve">standards of evidence </w:t>
            </w:r>
            <w:r w:rsidR="00C92615">
              <w:t>i</w:t>
            </w:r>
            <w:r w:rsidRPr="00980054">
              <w:t xml:space="preserve">n terms of: </w:t>
            </w:r>
            <w:proofErr w:type="spellStart"/>
            <w:r w:rsidR="00352192">
              <w:t>i</w:t>
            </w:r>
            <w:proofErr w:type="spellEnd"/>
            <w:r w:rsidR="00352192">
              <w:t xml:space="preserve">) </w:t>
            </w:r>
            <w:r w:rsidRPr="00980054">
              <w:t xml:space="preserve">constraints and opportunities for certain types of evaluation; and </w:t>
            </w:r>
            <w:r w:rsidR="00352192">
              <w:t xml:space="preserve">ii) </w:t>
            </w:r>
            <w:r w:rsidRPr="00980054">
              <w:t xml:space="preserve">the </w:t>
            </w:r>
            <w:r w:rsidR="00D02904">
              <w:t>kind of</w:t>
            </w:r>
            <w:r w:rsidRPr="00980054">
              <w:t xml:space="preserve"> </w:t>
            </w:r>
            <w:r w:rsidR="00352192">
              <w:t xml:space="preserve">impact </w:t>
            </w:r>
            <w:r w:rsidRPr="00980054">
              <w:t xml:space="preserve">evidence that providers are </w:t>
            </w:r>
            <w:r w:rsidR="00D02904">
              <w:t>seeking to</w:t>
            </w:r>
            <w:r w:rsidRPr="00980054">
              <w:t xml:space="preserve"> </w:t>
            </w:r>
            <w:r w:rsidR="003D5827">
              <w:t>identify</w:t>
            </w:r>
            <w:r w:rsidRPr="00980054">
              <w:t xml:space="preserve"> impact and to underpin evidence-informed decisions. </w:t>
            </w:r>
          </w:p>
          <w:p w14:paraId="25935D22" w14:textId="6E0CD880" w:rsidR="00941930" w:rsidRDefault="00524529" w:rsidP="00941930">
            <w:pPr>
              <w:pStyle w:val="Box"/>
            </w:pPr>
            <w:r>
              <w:t xml:space="preserve">The standards of evidence </w:t>
            </w:r>
            <w:r w:rsidR="00D56E96">
              <w:t xml:space="preserve">are concerned with </w:t>
            </w:r>
            <w:r>
              <w:t xml:space="preserve">whether outcomes can be attributed to an intervention (i.e. ascription of a causal link), rather than for assessing a contribution within the bigger picture. The issue of contribution not attribution is coming more to the fore </w:t>
            </w:r>
            <w:r w:rsidR="00105504">
              <w:t>I</w:t>
            </w:r>
            <w:r>
              <w:t xml:space="preserve">nstitutional </w:t>
            </w:r>
            <w:r w:rsidR="00105504">
              <w:t>S</w:t>
            </w:r>
            <w:r>
              <w:t>trategies are bringing together a suite of interventions to address different aspects of institution</w:t>
            </w:r>
            <w:r w:rsidR="00816D2C">
              <w:t>-</w:t>
            </w:r>
            <w:r>
              <w:t>wide problem</w:t>
            </w:r>
            <w:r w:rsidR="00FE08F4">
              <w:t>s.</w:t>
            </w:r>
            <w:r w:rsidR="00B73687">
              <w:t xml:space="preserve"> </w:t>
            </w:r>
            <w:r w:rsidR="00FE08F4">
              <w:t xml:space="preserve">While this co-ordination </w:t>
            </w:r>
            <w:r w:rsidR="00B97E67">
              <w:t xml:space="preserve">is to be welcomed it is more challenging to </w:t>
            </w:r>
            <w:r w:rsidR="00B73687">
              <w:t>isolate</w:t>
            </w:r>
            <w:r w:rsidR="00B97E67">
              <w:t xml:space="preserve"> the impact of </w:t>
            </w:r>
            <w:r w:rsidR="00105504">
              <w:t xml:space="preserve">access and participation activities </w:t>
            </w:r>
            <w:r w:rsidR="00B97E67">
              <w:t xml:space="preserve">as they are becoming </w:t>
            </w:r>
            <w:r w:rsidR="00105504">
              <w:t xml:space="preserve">embedded in the </w:t>
            </w:r>
            <w:proofErr w:type="gramStart"/>
            <w:r w:rsidR="00B97E67">
              <w:t>day to day</w:t>
            </w:r>
            <w:proofErr w:type="gramEnd"/>
            <w:r w:rsidR="00B97E67">
              <w:t xml:space="preserve"> </w:t>
            </w:r>
            <w:r w:rsidR="00105504">
              <w:t>business of higher education</w:t>
            </w:r>
            <w:r w:rsidR="00B97E67">
              <w:t xml:space="preserve">. </w:t>
            </w:r>
            <w:r w:rsidR="00DD28FF">
              <w:t xml:space="preserve"> </w:t>
            </w:r>
          </w:p>
          <w:p w14:paraId="65AFC531" w14:textId="77777777" w:rsidR="00941930" w:rsidRDefault="00F7031F" w:rsidP="00941930">
            <w:pPr>
              <w:pStyle w:val="Box"/>
            </w:pPr>
            <w:r>
              <w:t xml:space="preserve">The </w:t>
            </w:r>
            <w:r w:rsidR="00B07B0E">
              <w:t xml:space="preserve">need to look at </w:t>
            </w:r>
            <w:r w:rsidR="006F5DAB">
              <w:t xml:space="preserve">structural changes </w:t>
            </w:r>
            <w:r w:rsidR="00B07B0E">
              <w:t>as part of</w:t>
            </w:r>
            <w:r w:rsidR="00DD28FF">
              <w:t xml:space="preserve"> sustained and embedded response</w:t>
            </w:r>
            <w:r w:rsidR="006F5DAB">
              <w:t>s</w:t>
            </w:r>
            <w:r w:rsidR="00DD28FF">
              <w:t xml:space="preserve"> </w:t>
            </w:r>
            <w:r w:rsidR="0069443F">
              <w:t xml:space="preserve">to </w:t>
            </w:r>
            <w:r w:rsidR="00DD28FF">
              <w:t>addressing institutional risks</w:t>
            </w:r>
            <w:r w:rsidR="00B07B0E">
              <w:t>,</w:t>
            </w:r>
            <w:r w:rsidR="00DD28FF">
              <w:t xml:space="preserve"> </w:t>
            </w:r>
            <w:r w:rsidR="006F5DAB">
              <w:t xml:space="preserve">coupled with </w:t>
            </w:r>
            <w:r w:rsidR="00DD28FF">
              <w:t>concern to understand and improve the student experience</w:t>
            </w:r>
            <w:r w:rsidR="006F5DAB">
              <w:t>,</w:t>
            </w:r>
            <w:r w:rsidR="007B5C3A">
              <w:t xml:space="preserve"> may require new methodologies for impact evaluation</w:t>
            </w:r>
            <w:r w:rsidR="00DD28FF">
              <w:t>.</w:t>
            </w:r>
            <w:r w:rsidR="00DD680E">
              <w:t xml:space="preserve"> </w:t>
            </w:r>
            <w:r w:rsidR="007C4449">
              <w:t xml:space="preserve">Alternative approaches are needed to address the </w:t>
            </w:r>
            <w:r w:rsidR="008939CC" w:rsidRPr="008939CC">
              <w:t xml:space="preserve">challenge of demonstrating </w:t>
            </w:r>
            <w:r w:rsidR="00567E8A">
              <w:t>causal impact when</w:t>
            </w:r>
            <w:r w:rsidR="008939CC" w:rsidRPr="008939CC">
              <w:t xml:space="preserve"> outcomes are several degrees of separation from the delivered activities</w:t>
            </w:r>
            <w:r w:rsidR="00025762">
              <w:t xml:space="preserve">, and </w:t>
            </w:r>
            <w:r w:rsidR="008939CC" w:rsidRPr="008939CC">
              <w:t xml:space="preserve">where outcomes arise </w:t>
            </w:r>
            <w:r w:rsidR="001D7BBC">
              <w:t xml:space="preserve">from </w:t>
            </w:r>
            <w:r w:rsidR="001E7A9F">
              <w:t>complex interve</w:t>
            </w:r>
            <w:r w:rsidR="00C474E9">
              <w:t>n</w:t>
            </w:r>
            <w:r w:rsidR="001E7A9F">
              <w:t>tions</w:t>
            </w:r>
            <w:r w:rsidR="001D7BBC">
              <w:t xml:space="preserve">, especially </w:t>
            </w:r>
            <w:r w:rsidR="00B97E67">
              <w:t xml:space="preserve">when they include </w:t>
            </w:r>
            <w:r w:rsidR="008939CC" w:rsidRPr="008939CC">
              <w:t>a mix of direct interventions, embedded support, inclusive strategies and policy making.</w:t>
            </w:r>
          </w:p>
          <w:p w14:paraId="08BC0E33" w14:textId="77777777" w:rsidR="00534E2A" w:rsidRDefault="00534E2A" w:rsidP="00534E2A">
            <w:pPr>
              <w:pStyle w:val="Box"/>
            </w:pPr>
            <w:r w:rsidRPr="00013BDF">
              <w:t xml:space="preserve">The challenges </w:t>
            </w:r>
            <w:proofErr w:type="gramStart"/>
            <w:r w:rsidRPr="00013BDF">
              <w:t>include:</w:t>
            </w:r>
            <w:proofErr w:type="gramEnd"/>
            <w:r w:rsidRPr="00013BDF">
              <w:t xml:space="preserve"> </w:t>
            </w:r>
            <w:r>
              <w:t>dealing</w:t>
            </w:r>
            <w:r w:rsidRPr="00013BDF">
              <w:t xml:space="preserve"> with evaluation of complex programmes; getting clarity on the purpose of impact evaluation knowledge development; </w:t>
            </w:r>
            <w:r>
              <w:t>linking</w:t>
            </w:r>
            <w:r w:rsidRPr="00013BDF">
              <w:t xml:space="preserve"> </w:t>
            </w:r>
            <w:proofErr w:type="gramStart"/>
            <w:r w:rsidRPr="00013BDF">
              <w:t>short, medium and long term</w:t>
            </w:r>
            <w:proofErr w:type="gramEnd"/>
            <w:r w:rsidRPr="00013BDF">
              <w:t xml:space="preserve"> impacts; </w:t>
            </w:r>
            <w:r>
              <w:t>identifying</w:t>
            </w:r>
            <w:r w:rsidRPr="00013BDF">
              <w:t xml:space="preserve"> methods appropriate to the context; understanding the best way to deal with the contextual factors in an evaluation; embedding evaluation across whole systems; </w:t>
            </w:r>
            <w:r>
              <w:t>using</w:t>
            </w:r>
            <w:r w:rsidRPr="00013BDF">
              <w:t xml:space="preserve"> methodologies to involve students in evaluations.</w:t>
            </w:r>
          </w:p>
          <w:p w14:paraId="7FD77BF9" w14:textId="31796F0E" w:rsidR="00534E2A" w:rsidRDefault="00534E2A" w:rsidP="00534E2A">
            <w:pPr>
              <w:pStyle w:val="Box"/>
            </w:pPr>
            <w:r w:rsidRPr="00816D2C">
              <w:t>A key finding was the trade-off between precise unbiased answers to narrow questions of impact and more uncertain answers to complex questions. The argument being that to be most useful to inform decision making in the current higher education climate evaluators might need broader perspective than answering causal questions with greater certainty.</w:t>
            </w:r>
          </w:p>
          <w:p w14:paraId="744650D1" w14:textId="77777777" w:rsidR="00941930" w:rsidRDefault="00DD28FF" w:rsidP="00941930">
            <w:pPr>
              <w:pStyle w:val="Box"/>
            </w:pPr>
            <w:r>
              <w:t xml:space="preserve">There is a danger that the standards of evidence will become unfit for purpose unless they can support providers in the collection and use of evidence in the evolving higher education context. </w:t>
            </w:r>
            <w:r w:rsidR="00B97E67">
              <w:t>Key</w:t>
            </w:r>
            <w:r>
              <w:t xml:space="preserve"> questio</w:t>
            </w:r>
            <w:r w:rsidR="00FB2EC0">
              <w:t>ns</w:t>
            </w:r>
            <w:r>
              <w:t xml:space="preserve"> to be addressed </w:t>
            </w:r>
            <w:proofErr w:type="gramStart"/>
            <w:r w:rsidR="00B97E67">
              <w:t>include:</w:t>
            </w:r>
            <w:proofErr w:type="gramEnd"/>
            <w:r>
              <w:t xml:space="preserve"> what counts as impact (contribution as well as attribution); the types of impact evidence that </w:t>
            </w:r>
            <w:r w:rsidR="00B97E67">
              <w:t xml:space="preserve">are </w:t>
            </w:r>
            <w:r>
              <w:t xml:space="preserve">most useful to support institutional decision-making; and how impact evidence is used alongside other types of evidence as part of cycles of reflection and review.  </w:t>
            </w:r>
          </w:p>
          <w:p w14:paraId="53B3847E" w14:textId="267B155A" w:rsidR="00CC1305" w:rsidRDefault="00872C14" w:rsidP="003605E2">
            <w:pPr>
              <w:pStyle w:val="Box"/>
            </w:pPr>
            <w:r w:rsidRPr="00980054">
              <w:t xml:space="preserve">The standards of evidence are based around the </w:t>
            </w:r>
            <w:r w:rsidR="007815E3">
              <w:t>kind of c</w:t>
            </w:r>
            <w:r w:rsidRPr="00980054">
              <w:t xml:space="preserve">laims that providers </w:t>
            </w:r>
            <w:r>
              <w:t xml:space="preserve">can make when backing up </w:t>
            </w:r>
            <w:r w:rsidR="00BC0416">
              <w:t>assertions of</w:t>
            </w:r>
            <w:r>
              <w:t xml:space="preserve"> impact. The m</w:t>
            </w:r>
            <w:r w:rsidRPr="00980054">
              <w:t xml:space="preserve">ethodologies captured in different types of claims </w:t>
            </w:r>
            <w:r>
              <w:t xml:space="preserve">should </w:t>
            </w:r>
            <w:r w:rsidRPr="00980054">
              <w:t xml:space="preserve">be appropriate to </w:t>
            </w:r>
            <w:r>
              <w:t>all contexts and access and participation work (</w:t>
            </w:r>
            <w:proofErr w:type="gramStart"/>
            <w:r>
              <w:t>in order to</w:t>
            </w:r>
            <w:proofErr w:type="gramEnd"/>
            <w:r>
              <w:t xml:space="preserve"> have general relevance rather than amongst those</w:t>
            </w:r>
            <w:r w:rsidRPr="00980054">
              <w:t xml:space="preserve"> </w:t>
            </w:r>
            <w:r w:rsidRPr="00980054">
              <w:lastRenderedPageBreak/>
              <w:t xml:space="preserve">looking to do certain </w:t>
            </w:r>
            <w:r>
              <w:t>evaluation designs)</w:t>
            </w:r>
            <w:r w:rsidRPr="00980054">
              <w:t>. More guidance is needed on how alternative methods of evidence generation require</w:t>
            </w:r>
            <w:r w:rsidR="00037E63">
              <w:t>d</w:t>
            </w:r>
            <w:r w:rsidRPr="00980054">
              <w:t xml:space="preserve"> </w:t>
            </w:r>
            <w:r w:rsidR="001A54E2">
              <w:t xml:space="preserve">for complex </w:t>
            </w:r>
            <w:r w:rsidRPr="00980054">
              <w:t xml:space="preserve">types of access and participation </w:t>
            </w:r>
            <w:r w:rsidR="00B46D2E">
              <w:t xml:space="preserve">interventions </w:t>
            </w:r>
            <w:r w:rsidRPr="00980054">
              <w:t>sit within the framework and what</w:t>
            </w:r>
            <w:r w:rsidR="003817A0">
              <w:t xml:space="preserve"> judgement </w:t>
            </w:r>
            <w:r w:rsidR="00B46D2E">
              <w:t xml:space="preserve">can be made </w:t>
            </w:r>
            <w:r w:rsidRPr="00980054">
              <w:t>in terms of impact claims</w:t>
            </w:r>
            <w:r>
              <w:t xml:space="preserve">. </w:t>
            </w:r>
            <w:r w:rsidRPr="00980054">
              <w:t xml:space="preserve"> </w:t>
            </w:r>
          </w:p>
        </w:tc>
      </w:tr>
    </w:tbl>
    <w:p w14:paraId="78D8A56A" w14:textId="77777777" w:rsidR="0094753F" w:rsidRPr="00B60783" w:rsidRDefault="0094753F" w:rsidP="00B60783">
      <w:pPr>
        <w:pStyle w:val="Gap"/>
        <w:rPr>
          <w:sz w:val="2"/>
          <w:szCs w:val="2"/>
        </w:rPr>
      </w:pPr>
    </w:p>
    <w:p w14:paraId="6635220C" w14:textId="265FBC8B" w:rsidR="003E570A" w:rsidRPr="003E570A" w:rsidRDefault="00EC483F" w:rsidP="00B16C10">
      <w:pPr>
        <w:pStyle w:val="Heading2"/>
      </w:pPr>
      <w:bookmarkStart w:id="54" w:name="_Toc204556362"/>
      <w:bookmarkStart w:id="55" w:name="_Toc204556573"/>
      <w:bookmarkStart w:id="56" w:name="_Toc205504266"/>
      <w:r>
        <w:t>Risk-based interventions strategies</w:t>
      </w:r>
      <w:bookmarkEnd w:id="54"/>
      <w:bookmarkEnd w:id="55"/>
      <w:bookmarkEnd w:id="56"/>
    </w:p>
    <w:p w14:paraId="250E19D2" w14:textId="486826BB" w:rsidR="00187136" w:rsidRDefault="00225E93" w:rsidP="007131AE">
      <w:r>
        <w:t xml:space="preserve">The risk-based approach within Intervention Strategies has brought together </w:t>
      </w:r>
      <w:r w:rsidR="0042707F">
        <w:t xml:space="preserve">project specific interventions into a framework where there is more emphasis on looking at the outcomes and impacts </w:t>
      </w:r>
      <w:r w:rsidR="00CE3D28">
        <w:t xml:space="preserve">with reference to the </w:t>
      </w:r>
      <w:r w:rsidR="0042707F">
        <w:t xml:space="preserve">overall </w:t>
      </w:r>
      <w:r w:rsidR="00F67D77">
        <w:t xml:space="preserve">target. </w:t>
      </w:r>
      <w:r w:rsidR="003B530C">
        <w:t xml:space="preserve">Impact evaluations at </w:t>
      </w:r>
      <w:r w:rsidR="00CE3D28">
        <w:t>a</w:t>
      </w:r>
      <w:r w:rsidR="003B530C">
        <w:t xml:space="preserve"> project and programme level </w:t>
      </w:r>
      <w:r w:rsidR="00B76AC8">
        <w:t xml:space="preserve">ideally </w:t>
      </w:r>
      <w:r w:rsidR="003B530C">
        <w:t xml:space="preserve">need to inform understanding of what’s being achieved overall. </w:t>
      </w:r>
      <w:proofErr w:type="gramStart"/>
      <w:r w:rsidR="003B530C">
        <w:t>So</w:t>
      </w:r>
      <w:proofErr w:type="gramEnd"/>
      <w:r w:rsidR="003B530C">
        <w:t xml:space="preserve"> an </w:t>
      </w:r>
      <w:r w:rsidR="00C158E1">
        <w:t xml:space="preserve">obvious question when it comes to making decisions on </w:t>
      </w:r>
      <w:r w:rsidR="00932347">
        <w:t xml:space="preserve">how to evaluate impact is what </w:t>
      </w:r>
      <w:r w:rsidR="009D73FC">
        <w:t xml:space="preserve">outcome or </w:t>
      </w:r>
      <w:r w:rsidR="00932347">
        <w:t>impact to focus on</w:t>
      </w:r>
      <w:r w:rsidR="00790F14">
        <w:t>? Outcomes can be identi</w:t>
      </w:r>
      <w:r w:rsidR="00184744">
        <w:t>fied</w:t>
      </w:r>
      <w:r w:rsidR="00790F14">
        <w:t xml:space="preserve"> at different points (Figure </w:t>
      </w:r>
      <w:r w:rsidR="00441ABA">
        <w:t>4.1</w:t>
      </w:r>
      <w:r w:rsidR="00790F14">
        <w:t>).</w:t>
      </w:r>
      <w:r w:rsidR="00932347">
        <w:t xml:space="preserve"> If </w:t>
      </w:r>
      <w:r w:rsidR="00F337CE">
        <w:t xml:space="preserve">the aim is to make claims of causality </w:t>
      </w:r>
      <w:r w:rsidR="007668CF">
        <w:t xml:space="preserve">through an experimental </w:t>
      </w:r>
      <w:proofErr w:type="gramStart"/>
      <w:r w:rsidR="007668CF">
        <w:t>design</w:t>
      </w:r>
      <w:proofErr w:type="gramEnd"/>
      <w:r w:rsidR="007668CF">
        <w:t xml:space="preserve"> </w:t>
      </w:r>
      <w:r w:rsidR="00F337CE">
        <w:t xml:space="preserve">then there is a tendency to focus on </w:t>
      </w:r>
      <w:r w:rsidR="00465873">
        <w:t>programme specific intervention outcome</w:t>
      </w:r>
      <w:r w:rsidR="00F76FB9">
        <w:t>s</w:t>
      </w:r>
      <w:r w:rsidR="00465873">
        <w:t xml:space="preserve"> – which </w:t>
      </w:r>
      <w:r w:rsidR="002C1CDB">
        <w:t xml:space="preserve">often </w:t>
      </w:r>
      <w:r w:rsidR="00465873">
        <w:t xml:space="preserve">tend to be </w:t>
      </w:r>
      <w:r w:rsidR="009D27D7">
        <w:t>stepping stones to other outcomes</w:t>
      </w:r>
      <w:r w:rsidR="00AF09E4">
        <w:t xml:space="preserve">. </w:t>
      </w:r>
      <w:r w:rsidR="00D878D6">
        <w:t>Beyond this, t</w:t>
      </w:r>
      <w:r w:rsidR="00AF09E4">
        <w:t xml:space="preserve">he </w:t>
      </w:r>
      <w:r w:rsidR="002A5F93">
        <w:t>exist</w:t>
      </w:r>
      <w:r w:rsidR="00AF09E4">
        <w:t>ence</w:t>
      </w:r>
      <w:r w:rsidR="002A5F93">
        <w:t xml:space="preserve"> </w:t>
      </w:r>
      <w:r w:rsidR="00AF09E4">
        <w:t xml:space="preserve">of </w:t>
      </w:r>
      <w:r w:rsidR="002A5F93">
        <w:t xml:space="preserve">parallel initiatives and </w:t>
      </w:r>
      <w:r w:rsidR="000206F6">
        <w:t xml:space="preserve">the number of confounding factors may make absolute surety of causality </w:t>
      </w:r>
      <w:r w:rsidR="002A5F93">
        <w:t>impossible</w:t>
      </w:r>
      <w:r w:rsidR="009D27D7">
        <w:t xml:space="preserve">. </w:t>
      </w:r>
    </w:p>
    <w:p w14:paraId="7A0A7FD4" w14:textId="0B18C27B" w:rsidR="00035969" w:rsidRDefault="00700701" w:rsidP="002C0698">
      <w:pPr>
        <w:keepNext/>
        <w:spacing w:after="0"/>
      </w:pPr>
      <w:r>
        <w:t xml:space="preserve">Figure </w:t>
      </w:r>
      <w:r w:rsidR="00CB6A8D">
        <w:t>4</w:t>
      </w:r>
      <w:r w:rsidR="00E80D07">
        <w:t>.</w:t>
      </w:r>
      <w:r w:rsidR="00CB6A8D">
        <w:t>1</w:t>
      </w:r>
      <w:r>
        <w:t xml:space="preserve">: </w:t>
      </w:r>
      <w:r w:rsidR="00743B76">
        <w:t>Kinds of</w:t>
      </w:r>
      <w:r>
        <w:t xml:space="preserve"> outcomes (</w:t>
      </w:r>
      <w:r w:rsidR="00D243AC">
        <w:t>also note</w:t>
      </w:r>
      <w:r>
        <w:t xml:space="preserve"> </w:t>
      </w:r>
      <w:r w:rsidR="00873DEA">
        <w:t xml:space="preserve">a </w:t>
      </w:r>
      <w:r>
        <w:t xml:space="preserve">link to </w:t>
      </w:r>
      <w:proofErr w:type="gramStart"/>
      <w:r>
        <w:t>short, medium and long term</w:t>
      </w:r>
      <w:proofErr w:type="gramEnd"/>
      <w:r>
        <w:t xml:space="preserve"> outcomes)</w:t>
      </w:r>
    </w:p>
    <w:p w14:paraId="0072AAB6" w14:textId="53C3B805" w:rsidR="000D1314" w:rsidRDefault="000D1314" w:rsidP="00B53391">
      <w:pPr>
        <w:jc w:val="center"/>
      </w:pPr>
      <w:r>
        <w:rPr>
          <w:noProof/>
        </w:rPr>
        <w:drawing>
          <wp:inline distT="0" distB="0" distL="0" distR="0" wp14:anchorId="16776FA3" wp14:editId="78DD5A83">
            <wp:extent cx="4934791" cy="2715064"/>
            <wp:effectExtent l="0" t="0" r="0" b="9525"/>
            <wp:docPr id="1617238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238600" name=""/>
                    <pic:cNvPicPr/>
                  </pic:nvPicPr>
                  <pic:blipFill>
                    <a:blip r:embed="rId19"/>
                    <a:stretch>
                      <a:fillRect/>
                    </a:stretch>
                  </pic:blipFill>
                  <pic:spPr>
                    <a:xfrm>
                      <a:off x="0" y="0"/>
                      <a:ext cx="5010692" cy="2756824"/>
                    </a:xfrm>
                    <a:prstGeom prst="rect">
                      <a:avLst/>
                    </a:prstGeom>
                  </pic:spPr>
                </pic:pic>
              </a:graphicData>
            </a:graphic>
          </wp:inline>
        </w:drawing>
      </w:r>
    </w:p>
    <w:p w14:paraId="0EA84C01" w14:textId="491E8242" w:rsidR="00F72E65" w:rsidRDefault="00F72E65" w:rsidP="00F72E65">
      <w:r>
        <w:t xml:space="preserve">Access and participation work increasingly involves a high degree of complexity. Factors </w:t>
      </w:r>
      <w:proofErr w:type="gramStart"/>
      <w:r>
        <w:t>include:</w:t>
      </w:r>
      <w:proofErr w:type="gramEnd"/>
      <w:r w:rsidR="00BB6236">
        <w:t xml:space="preserve"> </w:t>
      </w:r>
      <w:r>
        <w:t>access to data and associated procedures, delivery across multiple teams (or sites). collaborative delivery, and community-based provision. Other factors affecting the outcomes could be inside and outside of higher education (for example, additional academic support outside the organisation because of a supportive family environment). In claiming a positive impact, higher education providers can struggle to determine how much of a particular intervention contributed to outcomes. Some interventions are designed to work in combinations with others, and some interventions are likely to have an indirect rather than a direct impact.</w:t>
      </w:r>
    </w:p>
    <w:p w14:paraId="69787E27" w14:textId="77777777" w:rsidR="00F72E65" w:rsidRDefault="00F72E65" w:rsidP="00F72E65">
      <w:pPr>
        <w:ind w:left="567"/>
        <w:rPr>
          <w:i/>
          <w:iCs/>
        </w:rPr>
      </w:pPr>
      <w:r w:rsidRPr="00187136">
        <w:rPr>
          <w:i/>
          <w:iCs/>
        </w:rPr>
        <w:t>It can be hard to grasp what needs evaluating</w:t>
      </w:r>
      <w:r>
        <w:rPr>
          <w:i/>
          <w:iCs/>
        </w:rPr>
        <w:t xml:space="preserve">. </w:t>
      </w:r>
      <w:proofErr w:type="gramStart"/>
      <w:r>
        <w:rPr>
          <w:i/>
          <w:iCs/>
        </w:rPr>
        <w:t>T</w:t>
      </w:r>
      <w:r w:rsidRPr="00187136">
        <w:rPr>
          <w:i/>
          <w:iCs/>
        </w:rPr>
        <w:t>here’s</w:t>
      </w:r>
      <w:proofErr w:type="gramEnd"/>
      <w:r w:rsidRPr="00187136">
        <w:rPr>
          <w:i/>
          <w:iCs/>
        </w:rPr>
        <w:t xml:space="preserve"> t</w:t>
      </w:r>
      <w:r>
        <w:rPr>
          <w:i/>
          <w:iCs/>
        </w:rPr>
        <w:t>he t</w:t>
      </w:r>
      <w:r w:rsidRPr="00187136">
        <w:rPr>
          <w:i/>
          <w:iCs/>
        </w:rPr>
        <w:t>argets</w:t>
      </w:r>
      <w:r>
        <w:rPr>
          <w:i/>
          <w:iCs/>
        </w:rPr>
        <w:t xml:space="preserve"> - we </w:t>
      </w:r>
      <w:r w:rsidRPr="00187136">
        <w:rPr>
          <w:i/>
          <w:iCs/>
        </w:rPr>
        <w:t>have a lot</w:t>
      </w:r>
      <w:r>
        <w:rPr>
          <w:i/>
          <w:iCs/>
        </w:rPr>
        <w:t xml:space="preserve"> of</w:t>
      </w:r>
      <w:r w:rsidRPr="00187136">
        <w:rPr>
          <w:i/>
          <w:iCs/>
        </w:rPr>
        <w:t xml:space="preserve"> general monitoring. </w:t>
      </w:r>
      <w:r>
        <w:rPr>
          <w:i/>
          <w:iCs/>
        </w:rPr>
        <w:t>It’s e</w:t>
      </w:r>
      <w:r w:rsidRPr="00187136">
        <w:rPr>
          <w:i/>
          <w:iCs/>
        </w:rPr>
        <w:t xml:space="preserve">asier now </w:t>
      </w:r>
      <w:r>
        <w:rPr>
          <w:i/>
          <w:iCs/>
        </w:rPr>
        <w:t>because the</w:t>
      </w:r>
      <w:r w:rsidRPr="00187136">
        <w:rPr>
          <w:i/>
          <w:iCs/>
        </w:rPr>
        <w:t xml:space="preserve"> flagship intervention strategies provide structure. Programme evaluation </w:t>
      </w:r>
      <w:r>
        <w:rPr>
          <w:i/>
          <w:iCs/>
        </w:rPr>
        <w:t xml:space="preserve">is </w:t>
      </w:r>
      <w:r w:rsidRPr="00187136">
        <w:rPr>
          <w:i/>
          <w:iCs/>
        </w:rPr>
        <w:t>informing institutional evaluation, not just monitoring</w:t>
      </w:r>
      <w:r>
        <w:rPr>
          <w:i/>
          <w:iCs/>
        </w:rPr>
        <w:t>: H</w:t>
      </w:r>
      <w:r w:rsidRPr="00187136">
        <w:rPr>
          <w:i/>
          <w:iCs/>
        </w:rPr>
        <w:t xml:space="preserve">ow effective </w:t>
      </w:r>
      <w:r>
        <w:rPr>
          <w:i/>
          <w:iCs/>
        </w:rPr>
        <w:t xml:space="preserve">is the </w:t>
      </w:r>
      <w:r w:rsidRPr="00187136">
        <w:rPr>
          <w:i/>
          <w:iCs/>
        </w:rPr>
        <w:t xml:space="preserve">institution </w:t>
      </w:r>
      <w:r>
        <w:rPr>
          <w:i/>
          <w:iCs/>
        </w:rPr>
        <w:t>them</w:t>
      </w:r>
      <w:r w:rsidRPr="00187136">
        <w:rPr>
          <w:i/>
          <w:iCs/>
        </w:rPr>
        <w:t>selves</w:t>
      </w:r>
      <w:r>
        <w:rPr>
          <w:i/>
          <w:iCs/>
        </w:rPr>
        <w:t>?</w:t>
      </w:r>
      <w:r w:rsidRPr="00187136">
        <w:rPr>
          <w:i/>
          <w:iCs/>
        </w:rPr>
        <w:t xml:space="preserve"> </w:t>
      </w:r>
    </w:p>
    <w:p w14:paraId="4E8C9C6C" w14:textId="77777777" w:rsidR="00F72E65" w:rsidRPr="00036D42" w:rsidRDefault="00F72E65" w:rsidP="00F72E65">
      <w:pPr>
        <w:ind w:left="567"/>
        <w:rPr>
          <w:i/>
          <w:iCs/>
        </w:rPr>
      </w:pPr>
      <w:r w:rsidRPr="00187E3B">
        <w:rPr>
          <w:i/>
          <w:iCs/>
        </w:rPr>
        <w:t xml:space="preserve">The challenge is very disparate. Take awarding gaps – a lot goes into it. Building an inclusive environment – halls, governance, workshops, programmes – disparate activities. It’s difficult to identify outcomes other than gaps. </w:t>
      </w:r>
    </w:p>
    <w:p w14:paraId="60D6EFE4" w14:textId="3278029B" w:rsidR="008B65F6" w:rsidRDefault="00A957D4" w:rsidP="00D33ED0">
      <w:r>
        <w:t>Usually</w:t>
      </w:r>
      <w:r w:rsidR="00BB6236">
        <w:t>,</w:t>
      </w:r>
      <w:r>
        <w:t xml:space="preserve"> a theory of change will include a series of intermediate effects that are necessary for the programme to be impactful and can test whether the assumptions about the </w:t>
      </w:r>
      <w:proofErr w:type="gramStart"/>
      <w:r>
        <w:t>final outcome</w:t>
      </w:r>
      <w:proofErr w:type="gramEnd"/>
      <w:r>
        <w:t xml:space="preserve"> held or whether implementation of the programme went off course or the activities had unintended consequences that countered the estimated effect (or other unforeseen benefits). Testing hypotheses, either with existing data and evidence or going back to collect more data (quantitative or qualitative) from stakeholders might be necessary, as well as considering running additional evaluations to explicitly test the emerging hypotheses.</w:t>
      </w:r>
      <w:r w:rsidR="00B5533B">
        <w:t xml:space="preserve"> </w:t>
      </w:r>
      <w:r w:rsidR="00732D49">
        <w:t>The</w:t>
      </w:r>
      <w:r w:rsidR="00F04105">
        <w:t xml:space="preserve"> precise attribution of outcomes</w:t>
      </w:r>
      <w:r w:rsidR="00732D49">
        <w:t xml:space="preserve"> </w:t>
      </w:r>
      <w:r w:rsidR="00F04105">
        <w:t xml:space="preserve">becomes especially </w:t>
      </w:r>
      <w:r w:rsidR="00292418">
        <w:t>challenging</w:t>
      </w:r>
      <w:r w:rsidR="00F04105">
        <w:t xml:space="preserve"> when the evaluation is trying to capture </w:t>
      </w:r>
      <w:r w:rsidR="003F06B3">
        <w:t xml:space="preserve">the </w:t>
      </w:r>
      <w:r w:rsidR="00F04105">
        <w:t>differen</w:t>
      </w:r>
      <w:r w:rsidR="00732D49">
        <w:t>ce ma</w:t>
      </w:r>
      <w:r w:rsidR="00B400C8">
        <w:t>d</w:t>
      </w:r>
      <w:r w:rsidR="00732D49">
        <w:t xml:space="preserve">e to </w:t>
      </w:r>
      <w:r w:rsidR="00F04105">
        <w:t xml:space="preserve">results </w:t>
      </w:r>
      <w:r w:rsidR="00440C9C">
        <w:t xml:space="preserve">over time which </w:t>
      </w:r>
      <w:r w:rsidR="00F04105">
        <w:t xml:space="preserve">are increasingly out of the direct control of the programme (see Figure </w:t>
      </w:r>
      <w:r w:rsidR="00441ABA">
        <w:t>4.2</w:t>
      </w:r>
      <w:r w:rsidR="00F04105">
        <w:t xml:space="preserve">). </w:t>
      </w:r>
    </w:p>
    <w:p w14:paraId="508D2785" w14:textId="22308D48" w:rsidR="00F04105" w:rsidRDefault="00F04105" w:rsidP="00AE4592">
      <w:pPr>
        <w:keepNext/>
      </w:pPr>
      <w:r>
        <w:lastRenderedPageBreak/>
        <w:t xml:space="preserve">Figure </w:t>
      </w:r>
      <w:r w:rsidR="00441ABA">
        <w:t>4.2</w:t>
      </w:r>
      <w:r>
        <w:t>: Attribution and contribution</w:t>
      </w:r>
    </w:p>
    <w:p w14:paraId="5231E73E" w14:textId="77777777" w:rsidR="00F04105" w:rsidRDefault="00F04105" w:rsidP="00F04105">
      <w:pPr>
        <w:jc w:val="center"/>
      </w:pPr>
      <w:r>
        <w:rPr>
          <w:noProof/>
        </w:rPr>
        <w:drawing>
          <wp:inline distT="0" distB="0" distL="0" distR="0" wp14:anchorId="19DAC2C9" wp14:editId="73F3A5EC">
            <wp:extent cx="4413245" cy="2946400"/>
            <wp:effectExtent l="0" t="0" r="6985" b="6350"/>
            <wp:docPr id="434150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150238" name=""/>
                    <pic:cNvPicPr/>
                  </pic:nvPicPr>
                  <pic:blipFill>
                    <a:blip r:embed="rId20"/>
                    <a:stretch>
                      <a:fillRect/>
                    </a:stretch>
                  </pic:blipFill>
                  <pic:spPr>
                    <a:xfrm>
                      <a:off x="0" y="0"/>
                      <a:ext cx="4423308" cy="2953119"/>
                    </a:xfrm>
                    <a:prstGeom prst="rect">
                      <a:avLst/>
                    </a:prstGeom>
                  </pic:spPr>
                </pic:pic>
              </a:graphicData>
            </a:graphic>
          </wp:inline>
        </w:drawing>
      </w:r>
    </w:p>
    <w:p w14:paraId="1D8FDCB3" w14:textId="77777777" w:rsidR="00A95156" w:rsidRDefault="00A95156" w:rsidP="00A95156">
      <w:r>
        <w:t>C</w:t>
      </w:r>
      <w:r w:rsidRPr="00B024E8">
        <w:t xml:space="preserve">ausal and correlational impact evaluations tend to work more reliably where there is a </w:t>
      </w:r>
      <w:proofErr w:type="gramStart"/>
      <w:r w:rsidRPr="00B024E8">
        <w:t>fairly direct</w:t>
      </w:r>
      <w:proofErr w:type="gramEnd"/>
      <w:r w:rsidRPr="00B024E8">
        <w:t xml:space="preserve"> link between cause and effect, and where the number of confounding extraneous factors that are potentially going to influence the outcome can be better known and controlled for.</w:t>
      </w:r>
      <w:r>
        <w:t xml:space="preserve"> However, it would not be a good result if all the work to develop the strongest impact evidence was only focused on measuring intervention outcomes for which the programme has more control. Accounting for the changes that happen over time in APP work can mean therefore that the confounding factors need to be embraced, understood, and part of the evaluation approach to explaining how causality works. </w:t>
      </w:r>
    </w:p>
    <w:p w14:paraId="33128469" w14:textId="4E13DC76" w:rsidR="00A95156" w:rsidRDefault="00A95156" w:rsidP="00A95156">
      <w:r w:rsidRPr="008B4A42">
        <w:t xml:space="preserve">Balancing understanding </w:t>
      </w:r>
      <w:r>
        <w:t xml:space="preserve">of </w:t>
      </w:r>
      <w:r w:rsidRPr="008B4A42">
        <w:t xml:space="preserve">what works in terms of the </w:t>
      </w:r>
      <w:proofErr w:type="gramStart"/>
      <w:r w:rsidRPr="008B4A42">
        <w:t>ultimate goal</w:t>
      </w:r>
      <w:proofErr w:type="gramEnd"/>
      <w:r w:rsidRPr="008B4A42">
        <w:t xml:space="preserve"> and what works in terms of short</w:t>
      </w:r>
      <w:r w:rsidR="00BB6236">
        <w:t>-</w:t>
      </w:r>
      <w:r w:rsidRPr="008B4A42">
        <w:t>term outcomes requires layering up the evidence over time.</w:t>
      </w:r>
      <w:r>
        <w:t xml:space="preserve"> Having longer timescales for impact evaluation in the new APPs is positive – it </w:t>
      </w:r>
      <w:proofErr w:type="gramStart"/>
      <w:r>
        <w:t>opens</w:t>
      </w:r>
      <w:r w:rsidR="00BB6236">
        <w:t xml:space="preserve"> </w:t>
      </w:r>
      <w:r>
        <w:t>up</w:t>
      </w:r>
      <w:proofErr w:type="gramEnd"/>
      <w:r>
        <w:t xml:space="preserve"> the way for more longitudinal studies. In relation to HE </w:t>
      </w:r>
      <w:proofErr w:type="gramStart"/>
      <w:r>
        <w:t>outreach</w:t>
      </w:r>
      <w:proofErr w:type="gramEnd"/>
      <w:r>
        <w:t xml:space="preserve"> for example, it can take 4-5 years to know if an intervention in Year 9-10 affected university take-up (taking account of not only student journeys through education but also the data lags in the system). Longitudinal evaluation requires the systems to be in place for this. </w:t>
      </w:r>
    </w:p>
    <w:p w14:paraId="34B06B24" w14:textId="67C450DB" w:rsidR="00F04105" w:rsidRDefault="00A95156" w:rsidP="00F04105">
      <w:r>
        <w:t>However, t</w:t>
      </w:r>
      <w:r w:rsidR="00F04105">
        <w:t xml:space="preserve">he key informants were cognisant of practical difficulties for </w:t>
      </w:r>
      <w:r>
        <w:t xml:space="preserve">evaluation </w:t>
      </w:r>
      <w:r w:rsidR="00F04105">
        <w:t xml:space="preserve">over longer cycles where activities are changing and evolving on the ground, including the potential of moving away from the original blueprint or hypothesis being tested. In this context a key dilemma </w:t>
      </w:r>
      <w:r>
        <w:t>wa</w:t>
      </w:r>
      <w:r w:rsidR="00F04105">
        <w:t xml:space="preserve">s whether to </w:t>
      </w:r>
      <w:r>
        <w:t>set</w:t>
      </w:r>
      <w:r w:rsidR="00F04105">
        <w:t xml:space="preserve"> up trials</w:t>
      </w:r>
      <w:r>
        <w:t xml:space="preserve"> designed</w:t>
      </w:r>
      <w:r w:rsidR="00F04105">
        <w:t xml:space="preserve"> to test the programme theory – which could take years to get the results and inform decisions </w:t>
      </w:r>
      <w:r w:rsidR="00C11375">
        <w:t xml:space="preserve">- </w:t>
      </w:r>
      <w:r w:rsidR="00F04105">
        <w:t xml:space="preserve">or to embrace a developmental approach to learning from evidence which involves </w:t>
      </w:r>
      <w:r w:rsidR="00F04105">
        <w:rPr>
          <w:spacing w:val="-2"/>
          <w:kern w:val="0"/>
          <w14:ligatures w14:val="none"/>
        </w:rPr>
        <w:t>i</w:t>
      </w:r>
      <w:r w:rsidR="00F04105">
        <w:t xml:space="preserve">ntegrating emerging evidence into practice </w:t>
      </w:r>
      <w:r w:rsidR="00830A11">
        <w:t xml:space="preserve">– which loses the fidelity of the </w:t>
      </w:r>
      <w:r w:rsidR="00027C7B">
        <w:t>model being tested</w:t>
      </w:r>
      <w:r w:rsidR="00F04105">
        <w:t xml:space="preserve">. </w:t>
      </w:r>
    </w:p>
    <w:p w14:paraId="5A8853EE" w14:textId="77777777" w:rsidR="003978B2" w:rsidRDefault="00F04105" w:rsidP="003978B2">
      <w:pPr>
        <w:ind w:left="576"/>
        <w:rPr>
          <w:i/>
          <w:iCs/>
        </w:rPr>
      </w:pPr>
      <w:r w:rsidRPr="00E909C3">
        <w:rPr>
          <w:i/>
          <w:iCs/>
        </w:rPr>
        <w:t>There could be discussion between staff and students which changes what they’re doing</w:t>
      </w:r>
      <w:r w:rsidR="00134837">
        <w:rPr>
          <w:i/>
          <w:iCs/>
        </w:rPr>
        <w:t>. T</w:t>
      </w:r>
      <w:r w:rsidRPr="00E909C3">
        <w:rPr>
          <w:i/>
          <w:iCs/>
        </w:rPr>
        <w:t xml:space="preserve">hing’s that practitioners do independently can shift a project, </w:t>
      </w:r>
      <w:proofErr w:type="gramStart"/>
      <w:r w:rsidRPr="00E909C3">
        <w:rPr>
          <w:i/>
          <w:iCs/>
        </w:rPr>
        <w:t>If</w:t>
      </w:r>
      <w:proofErr w:type="gramEnd"/>
      <w:r w:rsidRPr="00E909C3">
        <w:rPr>
          <w:i/>
          <w:iCs/>
        </w:rPr>
        <w:t xml:space="preserve"> there’s a change of approach, the evaluation automatically changes. </w:t>
      </w:r>
    </w:p>
    <w:p w14:paraId="0980AED3" w14:textId="60BBBAE4" w:rsidR="00134837" w:rsidRDefault="003978B2" w:rsidP="006D5D53">
      <w:pPr>
        <w:ind w:left="576"/>
        <w:rPr>
          <w:i/>
          <w:iCs/>
        </w:rPr>
      </w:pPr>
      <w:r w:rsidRPr="00DF0266">
        <w:rPr>
          <w:i/>
          <w:iCs/>
        </w:rPr>
        <w:t xml:space="preserve">A challenge for APP </w:t>
      </w:r>
      <w:r>
        <w:t xml:space="preserve">[evaluation] </w:t>
      </w:r>
      <w:r w:rsidRPr="00DF0266">
        <w:rPr>
          <w:i/>
          <w:iCs/>
        </w:rPr>
        <w:t xml:space="preserve">is that we’re working with two mindsets. In the university’s mind that years’ gone, move on, not thinking about </w:t>
      </w:r>
      <w:r>
        <w:rPr>
          <w:i/>
          <w:iCs/>
        </w:rPr>
        <w:t xml:space="preserve">the </w:t>
      </w:r>
      <w:r w:rsidRPr="00DF0266">
        <w:rPr>
          <w:i/>
          <w:iCs/>
        </w:rPr>
        <w:t>implications</w:t>
      </w:r>
      <w:r>
        <w:rPr>
          <w:i/>
          <w:iCs/>
        </w:rPr>
        <w:t xml:space="preserve"> </w:t>
      </w:r>
      <w:r>
        <w:t>[for evaluating the programme theory]</w:t>
      </w:r>
      <w:r w:rsidR="006D5D53">
        <w:t xml:space="preserve">. </w:t>
      </w:r>
      <w:r w:rsidR="00A328D1">
        <w:rPr>
          <w:i/>
          <w:iCs/>
        </w:rPr>
        <w:t>The university</w:t>
      </w:r>
      <w:r w:rsidRPr="00DF0266">
        <w:rPr>
          <w:i/>
          <w:iCs/>
        </w:rPr>
        <w:t xml:space="preserve"> can forget we did a project – do</w:t>
      </w:r>
      <w:r w:rsidR="00A328D1">
        <w:rPr>
          <w:i/>
          <w:iCs/>
        </w:rPr>
        <w:t>es</w:t>
      </w:r>
      <w:r w:rsidRPr="00DF0266">
        <w:rPr>
          <w:i/>
          <w:iCs/>
        </w:rPr>
        <w:t xml:space="preserve">n’t always scrutinise – despite the fact they’re some cool exciting things going on. </w:t>
      </w:r>
    </w:p>
    <w:tbl>
      <w:tblPr>
        <w:tblStyle w:val="TableGrid"/>
        <w:tblW w:w="0" w:type="auto"/>
        <w:tblLook w:val="04A0" w:firstRow="1" w:lastRow="0" w:firstColumn="1" w:lastColumn="0" w:noHBand="0" w:noVBand="1"/>
      </w:tblPr>
      <w:tblGrid>
        <w:gridCol w:w="9638"/>
      </w:tblGrid>
      <w:tr w:rsidR="00FD1ACB" w14:paraId="7F4E5A82" w14:textId="77777777" w:rsidTr="00AB4665">
        <w:tc>
          <w:tcPr>
            <w:tcW w:w="9638" w:type="dxa"/>
          </w:tcPr>
          <w:p w14:paraId="7BF32E53" w14:textId="17E1D6BC" w:rsidR="00FD1ACB" w:rsidRPr="002032E0" w:rsidRDefault="00FD1ACB" w:rsidP="00FD1ACB">
            <w:pPr>
              <w:rPr>
                <w:b/>
                <w:bCs/>
              </w:rPr>
            </w:pPr>
            <w:r w:rsidRPr="00BD7FFE">
              <w:rPr>
                <w:b/>
                <w:bCs/>
              </w:rPr>
              <w:t xml:space="preserve">Challenge </w:t>
            </w:r>
            <w:r>
              <w:rPr>
                <w:b/>
                <w:bCs/>
              </w:rPr>
              <w:t>1</w:t>
            </w:r>
            <w:r w:rsidRPr="002032E0">
              <w:rPr>
                <w:b/>
                <w:bCs/>
              </w:rPr>
              <w:t>: How to deal with complex programmes</w:t>
            </w:r>
          </w:p>
          <w:p w14:paraId="60A10190" w14:textId="2985E733" w:rsidR="009A4E85" w:rsidRDefault="00FD1ACB" w:rsidP="00FD1ACB">
            <w:r>
              <w:t xml:space="preserve">Evaluators working across </w:t>
            </w:r>
            <w:r w:rsidR="00FF673F">
              <w:t>I</w:t>
            </w:r>
            <w:r>
              <w:t xml:space="preserve">nstitutional </w:t>
            </w:r>
            <w:r w:rsidR="003F7CAA">
              <w:t>S</w:t>
            </w:r>
            <w:r>
              <w:t xml:space="preserve">trategies and the student lifecycle are having to embrace complexity in the approaches they are developing. This could include thinking about issues of contribution as well as attribution. In practice providers may be assessing claims to impact </w:t>
            </w:r>
            <w:proofErr w:type="gramStart"/>
            <w:r>
              <w:t>on the basis of</w:t>
            </w:r>
            <w:proofErr w:type="gramEnd"/>
            <w:r>
              <w:t xml:space="preserve"> judgements of reasonableness and ‘good enough’ evidence in our context. This is fine up to a point but might be undesirable because the basis of decisions </w:t>
            </w:r>
            <w:proofErr w:type="gramStart"/>
            <w:r>
              <w:t>become</w:t>
            </w:r>
            <w:proofErr w:type="gramEnd"/>
            <w:r>
              <w:t xml:space="preserve"> less transparent, which goes against one of the key </w:t>
            </w:r>
            <w:r>
              <w:lastRenderedPageBreak/>
              <w:t xml:space="preserve">objectives of the standards of evidence. A </w:t>
            </w:r>
            <w:r w:rsidR="00693EAC">
              <w:t xml:space="preserve">key </w:t>
            </w:r>
            <w:r>
              <w:t xml:space="preserve">question is where does evidence from complex and contextualised evaluation contexts fit </w:t>
            </w:r>
            <w:r w:rsidR="004426F3">
              <w:t>with</w:t>
            </w:r>
            <w:r>
              <w:t xml:space="preserve">in the framework? </w:t>
            </w:r>
            <w:r w:rsidR="00631B9D">
              <w:t>H</w:t>
            </w:r>
            <w:r>
              <w:t xml:space="preserve">ow </w:t>
            </w:r>
            <w:r w:rsidR="00631B9D">
              <w:t>this type of</w:t>
            </w:r>
            <w:r>
              <w:t xml:space="preserve"> evidence </w:t>
            </w:r>
            <w:r w:rsidR="00631B9D">
              <w:t xml:space="preserve">should </w:t>
            </w:r>
            <w:r>
              <w:t>be judged</w:t>
            </w:r>
            <w:r w:rsidR="00631B9D">
              <w:t xml:space="preserve"> is </w:t>
            </w:r>
            <w:r>
              <w:t xml:space="preserve">difficult </w:t>
            </w:r>
            <w:r w:rsidR="003D2339">
              <w:t xml:space="preserve">and depends on whether </w:t>
            </w:r>
            <w:r>
              <w:t xml:space="preserve">qualitative tests of reasonableness, credibility and coherence </w:t>
            </w:r>
            <w:proofErr w:type="gramStart"/>
            <w:r>
              <w:t>of  argument</w:t>
            </w:r>
            <w:proofErr w:type="gramEnd"/>
            <w:r>
              <w:t xml:space="preserve">, commitment and rigour and so on are as </w:t>
            </w:r>
            <w:r w:rsidR="003D2339">
              <w:t xml:space="preserve">considered </w:t>
            </w:r>
            <w:r>
              <w:t xml:space="preserve">valid </w:t>
            </w:r>
            <w:proofErr w:type="gramStart"/>
            <w:r w:rsidR="003D2339">
              <w:t>an</w:t>
            </w:r>
            <w:proofErr w:type="gramEnd"/>
            <w:r w:rsidR="003D2339">
              <w:t xml:space="preserve"> comparable to </w:t>
            </w:r>
            <w:r>
              <w:t xml:space="preserve">quantitative tests of validity, reliability and objectivity. </w:t>
            </w:r>
            <w:r w:rsidR="003D2339">
              <w:t>Whilst, t</w:t>
            </w:r>
            <w:r w:rsidR="00B46865">
              <w:t xml:space="preserve">he current formulation </w:t>
            </w:r>
            <w:r w:rsidR="003D2339">
              <w:t>of</w:t>
            </w:r>
            <w:r w:rsidR="00B46865">
              <w:t xml:space="preserve"> the standards embrace</w:t>
            </w:r>
            <w:r w:rsidR="003D2339">
              <w:t>s</w:t>
            </w:r>
            <w:r w:rsidR="00B46865">
              <w:t xml:space="preserve"> the use </w:t>
            </w:r>
            <w:r w:rsidR="00FA72B7">
              <w:t>different kinds of</w:t>
            </w:r>
            <w:r w:rsidR="00B46865">
              <w:t xml:space="preserve"> data</w:t>
            </w:r>
            <w:r w:rsidR="006871D2">
              <w:t xml:space="preserve">, the </w:t>
            </w:r>
            <w:r w:rsidR="004F6DF9">
              <w:t xml:space="preserve">methodologies are </w:t>
            </w:r>
            <w:proofErr w:type="gramStart"/>
            <w:r w:rsidR="00790DCC">
              <w:t>as yet</w:t>
            </w:r>
            <w:proofErr w:type="gramEnd"/>
            <w:r w:rsidR="00790DCC">
              <w:t xml:space="preserve"> </w:t>
            </w:r>
            <w:proofErr w:type="gramStart"/>
            <w:r w:rsidR="00790DCC">
              <w:t xml:space="preserve">fairly </w:t>
            </w:r>
            <w:r w:rsidR="004F6DF9">
              <w:t>underdeveloped</w:t>
            </w:r>
            <w:proofErr w:type="gramEnd"/>
            <w:r w:rsidR="006871D2">
              <w:t xml:space="preserve"> especiall</w:t>
            </w:r>
            <w:r w:rsidR="00AD65C6">
              <w:t>y for theory-based evidence</w:t>
            </w:r>
            <w:r w:rsidR="00B46865">
              <w:t xml:space="preserve">. </w:t>
            </w:r>
          </w:p>
          <w:p w14:paraId="41C26BD2" w14:textId="30F6494D" w:rsidR="009A4E85" w:rsidRPr="009A4E85" w:rsidRDefault="009A4E85" w:rsidP="006D5D53">
            <w:pPr>
              <w:keepNext/>
              <w:rPr>
                <w:b/>
                <w:bCs/>
              </w:rPr>
            </w:pPr>
            <w:r w:rsidRPr="009A4E85">
              <w:rPr>
                <w:b/>
                <w:bCs/>
              </w:rPr>
              <w:t>Challenge 2: Purpose of impact evidence in relation to different types of learning</w:t>
            </w:r>
          </w:p>
          <w:p w14:paraId="4CD4C447" w14:textId="2DD59096" w:rsidR="00F312F8" w:rsidRDefault="009A4E85" w:rsidP="002C036F">
            <w:r>
              <w:t>The use of impact evidence in evaluation can conflict with a contin</w:t>
            </w:r>
            <w:r w:rsidR="001254D6">
              <w:t>uous</w:t>
            </w:r>
            <w:r>
              <w:t xml:space="preserve"> improvement approach. On the one hand there is benefit from </w:t>
            </w:r>
            <w:r w:rsidR="00F12352">
              <w:t xml:space="preserve">access and participation </w:t>
            </w:r>
            <w:r>
              <w:t>practitioner</w:t>
            </w:r>
            <w:r w:rsidR="00F12352">
              <w:t>s</w:t>
            </w:r>
            <w:r>
              <w:t xml:space="preserve"> engaging in </w:t>
            </w:r>
            <w:r w:rsidR="00F12352">
              <w:t>a</w:t>
            </w:r>
            <w:r>
              <w:t xml:space="preserve"> process of reflexive practice and review – which is a tenet of educational practice – and undertaking adaptions as they go along. On the other </w:t>
            </w:r>
            <w:proofErr w:type="gramStart"/>
            <w:r w:rsidR="009509D4">
              <w:t>hand</w:t>
            </w:r>
            <w:proofErr w:type="gramEnd"/>
            <w:r w:rsidR="009509D4">
              <w:t xml:space="preserve"> </w:t>
            </w:r>
            <w:proofErr w:type="gramStart"/>
            <w:r>
              <w:t>fairly fixed</w:t>
            </w:r>
            <w:proofErr w:type="gramEnd"/>
            <w:r>
              <w:t xml:space="preserve"> models of delivery that can be systematically tested </w:t>
            </w:r>
            <w:r w:rsidR="009509D4">
              <w:t xml:space="preserve">are desirable </w:t>
            </w:r>
            <w:proofErr w:type="gramStart"/>
            <w:r>
              <w:t>in order to</w:t>
            </w:r>
            <w:proofErr w:type="gramEnd"/>
            <w:r>
              <w:t xml:space="preserve"> </w:t>
            </w:r>
            <w:r w:rsidR="009509D4">
              <w:t>assess</w:t>
            </w:r>
            <w:r>
              <w:t xml:space="preserve"> the results of the model. </w:t>
            </w:r>
            <w:r w:rsidR="006C1435">
              <w:t xml:space="preserve">Having systems in place that can capture differences made over time appear to be important in both cases, along with understanding of the </w:t>
            </w:r>
            <w:r w:rsidR="00C4258E">
              <w:t>causal</w:t>
            </w:r>
            <w:r w:rsidR="006C1435">
              <w:t xml:space="preserve"> mechanisms. </w:t>
            </w:r>
            <w:r w:rsidR="00AE356C">
              <w:t>However, the above approaches could take</w:t>
            </w:r>
            <w:r>
              <w:t xml:space="preserve"> evaluators down different ev</w:t>
            </w:r>
            <w:r w:rsidR="00AE356C">
              <w:t>idence</w:t>
            </w:r>
            <w:r>
              <w:t xml:space="preserve"> pathways</w:t>
            </w:r>
            <w:r w:rsidR="00A10809">
              <w:t xml:space="preserve">. The learning about </w:t>
            </w:r>
            <w:r w:rsidR="00100BD8">
              <w:t xml:space="preserve">a fixed model of practice </w:t>
            </w:r>
            <w:r w:rsidR="00297B5D">
              <w:t>is the recommendation to continue (or not)</w:t>
            </w:r>
            <w:r w:rsidR="00C3668C">
              <w:t xml:space="preserve"> </w:t>
            </w:r>
            <w:r w:rsidR="002C036F">
              <w:t>but t</w:t>
            </w:r>
            <w:r>
              <w:t xml:space="preserve">here might be limited understanding </w:t>
            </w:r>
            <w:r w:rsidR="008053AD">
              <w:t>in a fixed approach</w:t>
            </w:r>
            <w:r w:rsidR="00AE6D75">
              <w:t>, if the initial evidence suggests it</w:t>
            </w:r>
            <w:r w:rsidR="00C1085A">
              <w:t>’s</w:t>
            </w:r>
            <w:r w:rsidR="00AE6D75">
              <w:t xml:space="preserve"> not </w:t>
            </w:r>
            <w:r w:rsidR="002C036F">
              <w:t xml:space="preserve">effective. </w:t>
            </w:r>
            <w:r w:rsidR="00F34F2E">
              <w:t>The learning from evidence of the implications of practice changes is the practice improvement itself (an action research approach).</w:t>
            </w:r>
          </w:p>
          <w:p w14:paraId="11C413A0" w14:textId="665BD760" w:rsidR="00F312F8" w:rsidRPr="000C2540" w:rsidRDefault="00F312F8" w:rsidP="00FD1ACB">
            <w:pPr>
              <w:rPr>
                <w:b/>
                <w:bCs/>
              </w:rPr>
            </w:pPr>
            <w:r w:rsidRPr="000C2540">
              <w:rPr>
                <w:b/>
                <w:bCs/>
              </w:rPr>
              <w:t xml:space="preserve">Challenge </w:t>
            </w:r>
            <w:r w:rsidR="00D879C9">
              <w:rPr>
                <w:b/>
                <w:bCs/>
              </w:rPr>
              <w:t>3</w:t>
            </w:r>
            <w:r w:rsidRPr="000C2540">
              <w:rPr>
                <w:b/>
                <w:bCs/>
              </w:rPr>
              <w:t xml:space="preserve">: </w:t>
            </w:r>
            <w:r w:rsidR="000C2540" w:rsidRPr="000C2540">
              <w:rPr>
                <w:b/>
                <w:bCs/>
              </w:rPr>
              <w:t xml:space="preserve">Linking up short, intermediate and </w:t>
            </w:r>
            <w:proofErr w:type="gramStart"/>
            <w:r w:rsidR="000C2540" w:rsidRPr="000C2540">
              <w:rPr>
                <w:b/>
                <w:bCs/>
              </w:rPr>
              <w:t>long term</w:t>
            </w:r>
            <w:proofErr w:type="gramEnd"/>
            <w:r w:rsidR="000C2540" w:rsidRPr="000C2540">
              <w:rPr>
                <w:b/>
                <w:bCs/>
              </w:rPr>
              <w:t xml:space="preserve"> outcomes/impacts</w:t>
            </w:r>
          </w:p>
          <w:p w14:paraId="78C38190" w14:textId="3EAE3593" w:rsidR="00FD1ACB" w:rsidRPr="00594DE8" w:rsidRDefault="00293122" w:rsidP="00FD1ACB">
            <w:r>
              <w:t xml:space="preserve">There are knowledge gaps in </w:t>
            </w:r>
            <w:r w:rsidR="00F312F8">
              <w:t xml:space="preserve">higher education </w:t>
            </w:r>
            <w:r>
              <w:t xml:space="preserve">about the </w:t>
            </w:r>
            <w:r w:rsidR="00F312F8" w:rsidRPr="008B4A42">
              <w:t>linkages between short</w:t>
            </w:r>
            <w:r>
              <w:t>/</w:t>
            </w:r>
            <w:r w:rsidR="00F312F8" w:rsidRPr="008B4A42">
              <w:t>medium term outcomes and final impact indicators</w:t>
            </w:r>
            <w:r>
              <w:t xml:space="preserve"> which </w:t>
            </w:r>
            <w:r w:rsidR="00F312F8" w:rsidRPr="008B4A42">
              <w:t xml:space="preserve">might require </w:t>
            </w:r>
            <w:r w:rsidR="00F312F8">
              <w:t>new</w:t>
            </w:r>
            <w:r w:rsidR="00F312F8" w:rsidRPr="008B4A42">
              <w:t xml:space="preserve"> types of evaluations</w:t>
            </w:r>
            <w:r w:rsidR="00F312F8">
              <w:t>, perhaps involving modelling</w:t>
            </w:r>
            <w:r w:rsidR="00F312F8" w:rsidRPr="008B4A42">
              <w:t xml:space="preserve">. </w:t>
            </w:r>
            <w:r w:rsidR="00F312F8">
              <w:t>For example, i</w:t>
            </w:r>
            <w:r w:rsidR="00F312F8" w:rsidRPr="008B4A42">
              <w:t xml:space="preserve">s it enough to say the intervention raised </w:t>
            </w:r>
            <w:r w:rsidR="00F312F8">
              <w:t>study skills in</w:t>
            </w:r>
            <w:r w:rsidR="00F312F8" w:rsidRPr="008B4A42">
              <w:t xml:space="preserve"> </w:t>
            </w:r>
            <w:r w:rsidR="00F312F8">
              <w:t>higher education</w:t>
            </w:r>
            <w:r w:rsidR="00F312F8" w:rsidRPr="008B4A42">
              <w:t xml:space="preserve"> without understanding the relationship between </w:t>
            </w:r>
            <w:r w:rsidR="00F312F8">
              <w:t>study skills and</w:t>
            </w:r>
            <w:r w:rsidR="00F312F8" w:rsidRPr="008B4A42">
              <w:t xml:space="preserve"> actual HE </w:t>
            </w:r>
            <w:r w:rsidR="00F312F8">
              <w:t>achievement for different groups of students, and the implications for attainment gaps</w:t>
            </w:r>
            <w:r w:rsidR="00F312F8" w:rsidRPr="008B4A42">
              <w:t xml:space="preserve">?  </w:t>
            </w:r>
            <w:r w:rsidR="000C2540">
              <w:t xml:space="preserve">This </w:t>
            </w:r>
            <w:r w:rsidR="00B076E3">
              <w:t xml:space="preserve">aspect </w:t>
            </w:r>
            <w:r w:rsidR="000C2540">
              <w:t xml:space="preserve">could perhaps benefit from a </w:t>
            </w:r>
            <w:r w:rsidR="00D00CD7">
              <w:t xml:space="preserve">sector level </w:t>
            </w:r>
            <w:r w:rsidR="000C2540">
              <w:t>focus</w:t>
            </w:r>
            <w:r w:rsidR="00D00CD7">
              <w:t xml:space="preserve"> </w:t>
            </w:r>
            <w:proofErr w:type="gramStart"/>
            <w:r w:rsidR="00D00CD7">
              <w:t>in order to</w:t>
            </w:r>
            <w:proofErr w:type="gramEnd"/>
            <w:r w:rsidR="00D00CD7">
              <w:t xml:space="preserve"> assist evaluators in interpreting impact results from proxy indicators</w:t>
            </w:r>
            <w:r w:rsidR="009A35D7">
              <w:t>.</w:t>
            </w:r>
            <w:r w:rsidR="006C2B4A">
              <w:t xml:space="preserve"> For example, the extent to which </w:t>
            </w:r>
            <w:r w:rsidR="00475505">
              <w:t>results from the Assess and Success Questionnaire (</w:t>
            </w:r>
            <w:r w:rsidR="006C2B4A">
              <w:t>ASQ</w:t>
            </w:r>
            <w:r w:rsidR="00475505">
              <w:t xml:space="preserve">) </w:t>
            </w:r>
            <w:r w:rsidR="006C2B4A">
              <w:t xml:space="preserve">are predictors of </w:t>
            </w:r>
            <w:r w:rsidR="00594DE8">
              <w:t xml:space="preserve">student outcomes. </w:t>
            </w:r>
            <w:r w:rsidR="009A35D7">
              <w:t xml:space="preserve"> Further insights into using short and long cycle evaluation</w:t>
            </w:r>
            <w:r w:rsidR="007A1730">
              <w:t xml:space="preserve"> approaches</w:t>
            </w:r>
            <w:r w:rsidR="009A35D7">
              <w:t xml:space="preserve"> could </w:t>
            </w:r>
            <w:r w:rsidR="000A58F1">
              <w:t xml:space="preserve">also </w:t>
            </w:r>
            <w:r w:rsidR="009A35D7">
              <w:t>be helpful</w:t>
            </w:r>
            <w:r w:rsidR="006C1435">
              <w:t xml:space="preserve"> in this respect</w:t>
            </w:r>
            <w:r w:rsidR="009A4E85">
              <w:t>.</w:t>
            </w:r>
          </w:p>
        </w:tc>
      </w:tr>
    </w:tbl>
    <w:p w14:paraId="1045A7BF" w14:textId="77777777" w:rsidR="00BA2482" w:rsidRPr="00375F12" w:rsidRDefault="00BA2482" w:rsidP="00375F12">
      <w:pPr>
        <w:pStyle w:val="Gap"/>
        <w:rPr>
          <w:sz w:val="2"/>
          <w:szCs w:val="2"/>
        </w:rPr>
      </w:pPr>
      <w:bookmarkStart w:id="57" w:name="_Toc204556363"/>
      <w:bookmarkStart w:id="58" w:name="_Toc204556574"/>
    </w:p>
    <w:p w14:paraId="03A2FE2D" w14:textId="41B4C61C" w:rsidR="00F02F64" w:rsidRDefault="009E1290" w:rsidP="00B16C10">
      <w:pPr>
        <w:pStyle w:val="Heading2"/>
      </w:pPr>
      <w:bookmarkStart w:id="59" w:name="_Toc205504267"/>
      <w:r>
        <w:t>The</w:t>
      </w:r>
      <w:r w:rsidR="009907D1">
        <w:t xml:space="preserve"> delivery context</w:t>
      </w:r>
      <w:bookmarkEnd w:id="57"/>
      <w:bookmarkEnd w:id="58"/>
      <w:bookmarkEnd w:id="59"/>
    </w:p>
    <w:p w14:paraId="6A5C2988" w14:textId="68AE3F1C" w:rsidR="000938D4" w:rsidRDefault="007A1730" w:rsidP="00CB47F5">
      <w:r>
        <w:t>T</w:t>
      </w:r>
      <w:r w:rsidR="00CB47F5">
        <w:t xml:space="preserve">he potential for </w:t>
      </w:r>
      <w:r w:rsidR="00C46875">
        <w:t>using</w:t>
      </w:r>
      <w:r w:rsidR="00CB47F5">
        <w:t xml:space="preserve"> </w:t>
      </w:r>
      <w:r w:rsidR="00F01919">
        <w:t xml:space="preserve">different methods </w:t>
      </w:r>
      <w:r w:rsidR="00C46875">
        <w:t xml:space="preserve">of evaluation </w:t>
      </w:r>
      <w:r w:rsidR="00F01919">
        <w:t xml:space="preserve">depends on </w:t>
      </w:r>
      <w:r w:rsidR="00C46875">
        <w:t xml:space="preserve">the </w:t>
      </w:r>
      <w:r w:rsidR="00F01919">
        <w:t>context - t</w:t>
      </w:r>
      <w:r w:rsidR="00CB47F5">
        <w:t xml:space="preserve">he size of the provision is an obvious one, </w:t>
      </w:r>
      <w:r w:rsidR="00F01919">
        <w:t>affecting access to data</w:t>
      </w:r>
      <w:r w:rsidR="00534677">
        <w:t>sets</w:t>
      </w:r>
      <w:r w:rsidR="00F01919">
        <w:t>,</w:t>
      </w:r>
      <w:r w:rsidR="00594DE8">
        <w:t xml:space="preserve"> and the types of data</w:t>
      </w:r>
      <w:r w:rsidR="00F01919">
        <w:t xml:space="preserve"> </w:t>
      </w:r>
      <w:r w:rsidR="00CB47F5">
        <w:t xml:space="preserve">linked </w:t>
      </w:r>
      <w:r w:rsidR="00534677">
        <w:t>to</w:t>
      </w:r>
      <w:r w:rsidR="00CB47F5">
        <w:t xml:space="preserve"> the intervention.</w:t>
      </w:r>
      <w:r w:rsidR="00534677">
        <w:t xml:space="preserve"> Small and specialist providers may be less able to engage in quantitative method of evaluation. They may be working with more resource intensive methods and may need more practical support and guidance on steps that can be taken </w:t>
      </w:r>
      <w:r w:rsidR="00B86449">
        <w:t xml:space="preserve">to </w:t>
      </w:r>
      <w:r w:rsidR="0041363C">
        <w:t>evaluate in their context</w:t>
      </w:r>
      <w:r w:rsidR="00534677">
        <w:t>.</w:t>
      </w:r>
      <w:r w:rsidR="004012D2">
        <w:t xml:space="preserve"> </w:t>
      </w:r>
    </w:p>
    <w:p w14:paraId="5CFA8F1E" w14:textId="7CCEBF3B" w:rsidR="004A4A15" w:rsidRPr="00EC6434" w:rsidRDefault="004A4A15" w:rsidP="00BA2482">
      <w:pPr>
        <w:ind w:left="567"/>
        <w:rPr>
          <w:i/>
          <w:iCs/>
        </w:rPr>
      </w:pPr>
      <w:r w:rsidRPr="00EC6434">
        <w:rPr>
          <w:i/>
          <w:iCs/>
        </w:rPr>
        <w:t xml:space="preserve">It's capacity </w:t>
      </w:r>
      <w:proofErr w:type="gramStart"/>
      <w:r w:rsidRPr="00EC6434">
        <w:rPr>
          <w:i/>
          <w:iCs/>
        </w:rPr>
        <w:t>and also</w:t>
      </w:r>
      <w:proofErr w:type="gramEnd"/>
      <w:r w:rsidRPr="00EC6434">
        <w:rPr>
          <w:i/>
          <w:iCs/>
        </w:rPr>
        <w:t xml:space="preserve"> the nature of our institution. A lot of our interventions and evaluations are sort of small.</w:t>
      </w:r>
    </w:p>
    <w:p w14:paraId="387EEE62" w14:textId="611DCE57" w:rsidR="00BA2482" w:rsidRPr="00BA2482" w:rsidRDefault="004A4A15" w:rsidP="00BA2482">
      <w:pPr>
        <w:ind w:left="567"/>
        <w:rPr>
          <w:i/>
          <w:iCs/>
        </w:rPr>
      </w:pPr>
      <w:r w:rsidRPr="00EC6434">
        <w:rPr>
          <w:i/>
          <w:iCs/>
        </w:rPr>
        <w:t>Because we're a small specialist institution, we don't have a lot of particularly targeted interventions from the APP. We're not having thousands of students participating. We can, create some comparative group</w:t>
      </w:r>
      <w:r w:rsidR="00EC6434" w:rsidRPr="00EC6434">
        <w:rPr>
          <w:i/>
          <w:iCs/>
        </w:rPr>
        <w:t xml:space="preserve"> but</w:t>
      </w:r>
      <w:r w:rsidRPr="00EC6434">
        <w:rPr>
          <w:i/>
          <w:iCs/>
        </w:rPr>
        <w:t xml:space="preserve"> there are few opportunities for </w:t>
      </w:r>
      <w:r w:rsidR="00EC6434" w:rsidRPr="00EC6434">
        <w:rPr>
          <w:i/>
          <w:iCs/>
        </w:rPr>
        <w:t>us</w:t>
      </w:r>
      <w:r w:rsidRPr="00EC6434">
        <w:rPr>
          <w:i/>
          <w:iCs/>
        </w:rPr>
        <w:t xml:space="preserve"> just because of the nature. Yeah, who we are</w:t>
      </w:r>
      <w:r w:rsidR="001B6186">
        <w:rPr>
          <w:i/>
          <w:iCs/>
        </w:rPr>
        <w:t>,</w:t>
      </w:r>
      <w:r w:rsidRPr="00EC6434">
        <w:rPr>
          <w:i/>
          <w:iCs/>
        </w:rPr>
        <w:t xml:space="preserve"> the types of interventions we deliver.</w:t>
      </w:r>
      <w:r w:rsidR="00C1417C">
        <w:rPr>
          <w:i/>
          <w:iCs/>
        </w:rPr>
        <w:t xml:space="preserve"> </w:t>
      </w:r>
      <w:r w:rsidRPr="00C1417C">
        <w:rPr>
          <w:i/>
          <w:iCs/>
        </w:rPr>
        <w:t>And yeah, evaluation capacity as well.</w:t>
      </w:r>
    </w:p>
    <w:p w14:paraId="5D88CB68" w14:textId="5D4AA9A8" w:rsidR="00875509" w:rsidRDefault="003370F5" w:rsidP="00CB47F5">
      <w:r>
        <w:t xml:space="preserve">Both quantitative and qualitative approaches to impact evaluations are encompassed within the standards of evidence but qualitative methodologies </w:t>
      </w:r>
      <w:r w:rsidR="00E436BA">
        <w:t>are</w:t>
      </w:r>
      <w:r>
        <w:t xml:space="preserve"> underdeveloped </w:t>
      </w:r>
      <w:r w:rsidR="00E436BA">
        <w:t xml:space="preserve">in an applied sense </w:t>
      </w:r>
      <w:r>
        <w:t xml:space="preserve">(e.g. </w:t>
      </w:r>
      <w:r w:rsidR="004B49FD">
        <w:t xml:space="preserve">there are few examples of </w:t>
      </w:r>
      <w:r>
        <w:t xml:space="preserve">use of </w:t>
      </w:r>
      <w:r w:rsidR="004B49FD">
        <w:t xml:space="preserve">qualitative evaluation techniques such as </w:t>
      </w:r>
      <w:r>
        <w:t>case study methodologies or Qualitative Comparative Analysis</w:t>
      </w:r>
      <w:r w:rsidR="004B49FD">
        <w:t xml:space="preserve"> (QCA)</w:t>
      </w:r>
      <w:r>
        <w:t>). There is a tension because qualitative methods can be more time and resource intensive (</w:t>
      </w:r>
      <w:r w:rsidR="004B49FD">
        <w:t xml:space="preserve">when compared with </w:t>
      </w:r>
      <w:r>
        <w:t xml:space="preserve">use of surveys for example) making them a bigger resource requirement, even though the scale of provision is smaller. </w:t>
      </w:r>
    </w:p>
    <w:p w14:paraId="5D9A21C1" w14:textId="604442EE" w:rsidR="00201A12" w:rsidRDefault="00C176F9" w:rsidP="00CB47F5">
      <w:r>
        <w:t>S</w:t>
      </w:r>
      <w:r w:rsidR="001674CD">
        <w:t xml:space="preserve">mall cohorts exist in all </w:t>
      </w:r>
      <w:r w:rsidR="00201A12">
        <w:t>sizes of</w:t>
      </w:r>
      <w:r w:rsidR="000411D1">
        <w:t xml:space="preserve"> providers</w:t>
      </w:r>
      <w:r w:rsidR="0093340A">
        <w:t xml:space="preserve">, </w:t>
      </w:r>
      <w:r>
        <w:t>so</w:t>
      </w:r>
      <w:r w:rsidR="0093340A">
        <w:t xml:space="preserve"> the</w:t>
      </w:r>
      <w:r w:rsidR="002A7D56">
        <w:t xml:space="preserve"> </w:t>
      </w:r>
      <w:r w:rsidR="00201A12">
        <w:t xml:space="preserve">problem is delineated by </w:t>
      </w:r>
      <w:r w:rsidR="00CD6B7F">
        <w:t xml:space="preserve">the delivery context as much as the </w:t>
      </w:r>
      <w:r w:rsidR="00201A12">
        <w:t xml:space="preserve">size of provider per se. </w:t>
      </w:r>
    </w:p>
    <w:p w14:paraId="68FD0A7B" w14:textId="4E23669D" w:rsidR="002A7D56" w:rsidRPr="002A7D56" w:rsidRDefault="004451E9" w:rsidP="003036DA">
      <w:pPr>
        <w:ind w:left="567"/>
        <w:rPr>
          <w:i/>
          <w:iCs/>
        </w:rPr>
      </w:pPr>
      <w:r>
        <w:rPr>
          <w:i/>
          <w:iCs/>
        </w:rPr>
        <w:t>T</w:t>
      </w:r>
      <w:r w:rsidR="002A7D56" w:rsidRPr="000B7500">
        <w:rPr>
          <w:i/>
          <w:iCs/>
        </w:rPr>
        <w:t>hinking about</w:t>
      </w:r>
      <w:r>
        <w:rPr>
          <w:i/>
          <w:iCs/>
        </w:rPr>
        <w:t xml:space="preserve"> </w:t>
      </w:r>
      <w:r w:rsidR="002A7D56" w:rsidRPr="000B7500">
        <w:rPr>
          <w:i/>
          <w:iCs/>
        </w:rPr>
        <w:t>samples</w:t>
      </w:r>
      <w:r>
        <w:rPr>
          <w:i/>
          <w:iCs/>
        </w:rPr>
        <w:t xml:space="preserve">, </w:t>
      </w:r>
      <w:r w:rsidR="002A7D56" w:rsidRPr="000B7500">
        <w:rPr>
          <w:i/>
          <w:iCs/>
        </w:rPr>
        <w:t>our outreach work is</w:t>
      </w:r>
      <w:r w:rsidR="00283F1A">
        <w:rPr>
          <w:i/>
          <w:iCs/>
        </w:rPr>
        <w:t xml:space="preserve"> </w:t>
      </w:r>
      <w:r w:rsidR="002A7D56" w:rsidRPr="000B7500">
        <w:rPr>
          <w:i/>
          <w:iCs/>
        </w:rPr>
        <w:t>very small</w:t>
      </w:r>
      <w:r>
        <w:rPr>
          <w:i/>
          <w:iCs/>
        </w:rPr>
        <w:t>, v</w:t>
      </w:r>
      <w:r w:rsidR="002A7D56" w:rsidRPr="000B7500">
        <w:rPr>
          <w:i/>
          <w:iCs/>
        </w:rPr>
        <w:t>ery targeted</w:t>
      </w:r>
      <w:r>
        <w:rPr>
          <w:i/>
          <w:iCs/>
        </w:rPr>
        <w:t>. W</w:t>
      </w:r>
      <w:r w:rsidR="002A7D56" w:rsidRPr="000B7500">
        <w:rPr>
          <w:i/>
          <w:iCs/>
        </w:rPr>
        <w:t>e might be working with 12 students over a period of two years</w:t>
      </w:r>
      <w:r w:rsidR="00623E2E">
        <w:rPr>
          <w:i/>
          <w:iCs/>
        </w:rPr>
        <w:t xml:space="preserve">. </w:t>
      </w:r>
    </w:p>
    <w:p w14:paraId="78872849" w14:textId="1C61F961" w:rsidR="002236E0" w:rsidRDefault="002236E0" w:rsidP="00B16C10">
      <w:pPr>
        <w:pStyle w:val="Heading2"/>
      </w:pPr>
      <w:bookmarkStart w:id="60" w:name="_Toc204556364"/>
      <w:bookmarkStart w:id="61" w:name="_Toc204556575"/>
      <w:bookmarkStart w:id="62" w:name="_Toc205504268"/>
      <w:r w:rsidRPr="00051F0B">
        <w:lastRenderedPageBreak/>
        <w:t>Nature</w:t>
      </w:r>
      <w:r>
        <w:t xml:space="preserve"> of the outcomes and impacts</w:t>
      </w:r>
      <w:bookmarkEnd w:id="60"/>
      <w:bookmarkEnd w:id="61"/>
      <w:bookmarkEnd w:id="62"/>
    </w:p>
    <w:p w14:paraId="00E6E17A" w14:textId="77777777" w:rsidR="00DA584B" w:rsidRDefault="00DA584B" w:rsidP="00DA584B">
      <w:r>
        <w:t xml:space="preserve">There is a general trend to embed evaluation into intervention delivery mechanisms </w:t>
      </w:r>
      <w:proofErr w:type="gramStart"/>
      <w:r>
        <w:t>in order to</w:t>
      </w:r>
      <w:proofErr w:type="gramEnd"/>
      <w:r>
        <w:t xml:space="preserve"> make sure data for evaluation is being generated appropriately from the ground up. This potentially brings other factors into play, such as wider access and more data, the need to build relationships between teams, and to build evaluation into </w:t>
      </w:r>
      <w:proofErr w:type="gramStart"/>
      <w:r>
        <w:t>practitioners</w:t>
      </w:r>
      <w:proofErr w:type="gramEnd"/>
      <w:r>
        <w:t xml:space="preserve"> day to day roles. These factors affect what approach to evaluation is practicable, and at what level (for example outcomes measured across programmes rather than for each intervention within a programme). </w:t>
      </w:r>
    </w:p>
    <w:p w14:paraId="3464C250" w14:textId="77777777" w:rsidR="00DA584B" w:rsidRPr="00DC69DF" w:rsidRDefault="00DA584B" w:rsidP="00DA584B">
      <w:pPr>
        <w:ind w:left="567"/>
        <w:rPr>
          <w:i/>
          <w:iCs/>
        </w:rPr>
      </w:pPr>
      <w:r w:rsidRPr="00B8421F">
        <w:rPr>
          <w:i/>
          <w:iCs/>
        </w:rPr>
        <w:t xml:space="preserve">Some projects are too small to </w:t>
      </w:r>
      <w:r w:rsidRPr="00CB7A5E">
        <w:t xml:space="preserve">[evaluate] </w:t>
      </w:r>
      <w:r w:rsidRPr="00B8421F">
        <w:rPr>
          <w:i/>
          <w:iCs/>
        </w:rPr>
        <w:t>ad hoc – it’s a matter of establishing and embedding evaluation into service</w:t>
      </w:r>
      <w:r>
        <w:rPr>
          <w:i/>
          <w:iCs/>
        </w:rPr>
        <w:t xml:space="preserve"> outcome</w:t>
      </w:r>
      <w:r w:rsidRPr="00B8421F">
        <w:rPr>
          <w:i/>
          <w:iCs/>
        </w:rPr>
        <w:t>s</w:t>
      </w:r>
      <w:r>
        <w:rPr>
          <w:i/>
          <w:iCs/>
        </w:rPr>
        <w:t xml:space="preserve"> monitoring</w:t>
      </w:r>
      <w:r w:rsidRPr="00B8421F">
        <w:rPr>
          <w:i/>
          <w:iCs/>
        </w:rPr>
        <w:t xml:space="preserve">. </w:t>
      </w:r>
    </w:p>
    <w:p w14:paraId="187F4B5C" w14:textId="77777777" w:rsidR="00DA584B" w:rsidRDefault="00DA584B" w:rsidP="00DA584B">
      <w:pPr>
        <w:ind w:left="567"/>
        <w:rPr>
          <w:i/>
          <w:iCs/>
        </w:rPr>
      </w:pPr>
      <w:r w:rsidRPr="00917596">
        <w:rPr>
          <w:i/>
          <w:iCs/>
        </w:rPr>
        <w:t>We made huge improvement in embedding evaluation in</w:t>
      </w:r>
      <w:r>
        <w:rPr>
          <w:i/>
          <w:iCs/>
        </w:rPr>
        <w:t>to</w:t>
      </w:r>
      <w:r w:rsidRPr="00917596">
        <w:rPr>
          <w:i/>
          <w:iCs/>
        </w:rPr>
        <w:t xml:space="preserve"> activity. Projects funded in APP, core services, are embedding evaluation. Our dashboard portfolio programme keeps a view of all the work </w:t>
      </w:r>
      <w:r>
        <w:rPr>
          <w:i/>
          <w:iCs/>
        </w:rPr>
        <w:t xml:space="preserve">that </w:t>
      </w:r>
      <w:r w:rsidRPr="00917596">
        <w:rPr>
          <w:i/>
          <w:iCs/>
        </w:rPr>
        <w:t xml:space="preserve">takes place. </w:t>
      </w:r>
    </w:p>
    <w:p w14:paraId="667AD4A9" w14:textId="77777777" w:rsidR="00DA584B" w:rsidRDefault="00DA584B" w:rsidP="00DA584B">
      <w:pPr>
        <w:ind w:left="567"/>
        <w:rPr>
          <w:i/>
          <w:iCs/>
        </w:rPr>
      </w:pPr>
      <w:r>
        <w:rPr>
          <w:i/>
          <w:iCs/>
        </w:rPr>
        <w:t>We’re e</w:t>
      </w:r>
      <w:r w:rsidRPr="000B7500">
        <w:rPr>
          <w:i/>
          <w:iCs/>
        </w:rPr>
        <w:t>valuating a racially inclusive curriculum assessment piece of work, that's been delivered to all students on our undergraduate programme in the first year</w:t>
      </w:r>
      <w:r>
        <w:rPr>
          <w:i/>
          <w:iCs/>
        </w:rPr>
        <w:t>: t</w:t>
      </w:r>
      <w:r w:rsidRPr="000B7500">
        <w:rPr>
          <w:i/>
          <w:iCs/>
        </w:rPr>
        <w:t>hat's 1000 students all leaving this intervention</w:t>
      </w:r>
      <w:r>
        <w:rPr>
          <w:i/>
          <w:iCs/>
        </w:rPr>
        <w:t>. S</w:t>
      </w:r>
      <w:r w:rsidRPr="000B7500">
        <w:rPr>
          <w:i/>
          <w:iCs/>
        </w:rPr>
        <w:t xml:space="preserve">o </w:t>
      </w:r>
      <w:proofErr w:type="gramStart"/>
      <w:r w:rsidRPr="000B7500">
        <w:rPr>
          <w:i/>
          <w:iCs/>
        </w:rPr>
        <w:t>actually</w:t>
      </w:r>
      <w:proofErr w:type="gramEnd"/>
      <w:r w:rsidRPr="000B7500">
        <w:rPr>
          <w:i/>
          <w:iCs/>
        </w:rPr>
        <w:t xml:space="preserve"> that is where we </w:t>
      </w:r>
      <w:proofErr w:type="gramStart"/>
      <w:r w:rsidRPr="000B7500">
        <w:rPr>
          <w:i/>
          <w:iCs/>
        </w:rPr>
        <w:t>have to</w:t>
      </w:r>
      <w:proofErr w:type="gramEnd"/>
      <w:r w:rsidRPr="000B7500">
        <w:rPr>
          <w:i/>
          <w:iCs/>
        </w:rPr>
        <w:t xml:space="preserve"> go to maybe look at Type 2 and Type 3. </w:t>
      </w:r>
    </w:p>
    <w:p w14:paraId="113D3D7D" w14:textId="77777777" w:rsidR="00DA584B" w:rsidRDefault="00DA584B" w:rsidP="00DA584B">
      <w:r>
        <w:t xml:space="preserve">The potential trade-off in getting more data for evaluation is making sure the impact measures are relevant to the delivery context (since there may be a danger of the measures being specified at too high a level to be meaningful to the activities being delivered). </w:t>
      </w:r>
    </w:p>
    <w:p w14:paraId="756C975C" w14:textId="77777777" w:rsidR="00DA584B" w:rsidRPr="0004006D" w:rsidRDefault="00DA584B" w:rsidP="00DA584B">
      <w:pPr>
        <w:ind w:left="567"/>
        <w:rPr>
          <w:i/>
          <w:iCs/>
        </w:rPr>
      </w:pPr>
      <w:r w:rsidRPr="00737B2E">
        <w:rPr>
          <w:i/>
          <w:iCs/>
        </w:rPr>
        <w:t xml:space="preserve">It can be hard because there’s no connectivity, we can’t compare activities, but a lot should be addressing a particular problem. Comparisons are difficult because the benefits might not be similar – but it’s essentially one project (objective) looked at from different angles. </w:t>
      </w:r>
    </w:p>
    <w:p w14:paraId="0C0C71BE" w14:textId="77777777" w:rsidR="00101CCD" w:rsidRDefault="00101CCD" w:rsidP="00101CCD">
      <w:pPr>
        <w:rPr>
          <w:i/>
          <w:iCs/>
        </w:rPr>
      </w:pPr>
      <w:r>
        <w:t xml:space="preserve">Depending on the specifics of the intervention, the desired outcomes and impacts will affect measurement in a range of ways, as well as the research question. Impact evaluation which aims to explore how sense of belonging has changed over time requires a different approach to one which seeks to determine the difference made to HE continuation rates (and both might be needed as part of a rounded approach to impact evaluation). APPs usually cover a varied set of objectives, which could be captured in various ways, and some things are harder to quantitatively evaluate than others. </w:t>
      </w:r>
    </w:p>
    <w:p w14:paraId="54744E1B" w14:textId="77777777" w:rsidR="00101CCD" w:rsidRPr="001322A7" w:rsidRDefault="00101CCD" w:rsidP="00101CCD">
      <w:pPr>
        <w:ind w:left="567"/>
        <w:rPr>
          <w:i/>
          <w:iCs/>
        </w:rPr>
      </w:pPr>
      <w:r>
        <w:rPr>
          <w:i/>
          <w:iCs/>
        </w:rPr>
        <w:t>O</w:t>
      </w:r>
      <w:r w:rsidRPr="00FE3854">
        <w:rPr>
          <w:i/>
          <w:iCs/>
        </w:rPr>
        <w:t>ur intervention strategies are on risk and some of those are</w:t>
      </w:r>
      <w:r>
        <w:rPr>
          <w:i/>
          <w:iCs/>
        </w:rPr>
        <w:t xml:space="preserve"> </w:t>
      </w:r>
      <w:r w:rsidRPr="00FE3854">
        <w:rPr>
          <w:i/>
          <w:iCs/>
        </w:rPr>
        <w:t xml:space="preserve">institutional. </w:t>
      </w:r>
      <w:proofErr w:type="gramStart"/>
      <w:r w:rsidRPr="00FE3854">
        <w:rPr>
          <w:i/>
          <w:iCs/>
        </w:rPr>
        <w:t>So</w:t>
      </w:r>
      <w:proofErr w:type="gramEnd"/>
      <w:r w:rsidRPr="00FE3854">
        <w:rPr>
          <w:i/>
          <w:iCs/>
        </w:rPr>
        <w:t xml:space="preserve"> for example, an institutional risk of replication of inequalities of the profession</w:t>
      </w:r>
      <w:r>
        <w:rPr>
          <w:i/>
          <w:iCs/>
        </w:rPr>
        <w:t>s</w:t>
      </w:r>
      <w:r w:rsidRPr="00FE3854">
        <w:rPr>
          <w:i/>
          <w:iCs/>
        </w:rPr>
        <w:t xml:space="preserve">. </w:t>
      </w:r>
      <w:proofErr w:type="gramStart"/>
      <w:r w:rsidRPr="00FE3854">
        <w:rPr>
          <w:i/>
          <w:iCs/>
        </w:rPr>
        <w:t>So</w:t>
      </w:r>
      <w:proofErr w:type="gramEnd"/>
      <w:r w:rsidRPr="00FE3854">
        <w:rPr>
          <w:i/>
          <w:iCs/>
        </w:rPr>
        <w:t xml:space="preserve"> we're looking at how the profession is very white, very middle class and we risk replicating that because we have differential outcomes</w:t>
      </w:r>
      <w:r>
        <w:rPr>
          <w:i/>
          <w:iCs/>
        </w:rPr>
        <w:t xml:space="preserve">. That </w:t>
      </w:r>
      <w:r w:rsidRPr="00FE3854">
        <w:rPr>
          <w:i/>
          <w:iCs/>
        </w:rPr>
        <w:t xml:space="preserve">covers absolutely everything from </w:t>
      </w:r>
      <w:r>
        <w:rPr>
          <w:i/>
          <w:iCs/>
        </w:rPr>
        <w:t>o</w:t>
      </w:r>
      <w:r w:rsidRPr="00982D20">
        <w:rPr>
          <w:i/>
          <w:iCs/>
        </w:rPr>
        <w:t>utreach work</w:t>
      </w:r>
      <w:r>
        <w:rPr>
          <w:i/>
          <w:iCs/>
        </w:rPr>
        <w:t xml:space="preserve"> in </w:t>
      </w:r>
      <w:r w:rsidRPr="00982D20">
        <w:rPr>
          <w:i/>
          <w:iCs/>
        </w:rPr>
        <w:t xml:space="preserve">schools and representation through to activities around recruitment </w:t>
      </w:r>
      <w:r>
        <w:rPr>
          <w:i/>
          <w:iCs/>
        </w:rPr>
        <w:t>of</w:t>
      </w:r>
      <w:r w:rsidRPr="00982D20">
        <w:rPr>
          <w:i/>
          <w:iCs/>
        </w:rPr>
        <w:t xml:space="preserve"> staff. </w:t>
      </w:r>
      <w:r>
        <w:rPr>
          <w:i/>
          <w:iCs/>
        </w:rPr>
        <w:t>The</w:t>
      </w:r>
      <w:r w:rsidRPr="00982D20">
        <w:rPr>
          <w:i/>
          <w:iCs/>
        </w:rPr>
        <w:t xml:space="preserve"> </w:t>
      </w:r>
      <w:proofErr w:type="gramStart"/>
      <w:r w:rsidRPr="00982D20">
        <w:rPr>
          <w:i/>
          <w:iCs/>
        </w:rPr>
        <w:t>long term</w:t>
      </w:r>
      <w:proofErr w:type="gramEnd"/>
      <w:r w:rsidRPr="00982D20">
        <w:rPr>
          <w:i/>
          <w:iCs/>
        </w:rPr>
        <w:t xml:space="preserve"> impact is hopefully to see</w:t>
      </w:r>
      <w:r>
        <w:rPr>
          <w:i/>
          <w:iCs/>
        </w:rPr>
        <w:t xml:space="preserve"> a m</w:t>
      </w:r>
      <w:r w:rsidRPr="00982D20">
        <w:rPr>
          <w:i/>
          <w:iCs/>
        </w:rPr>
        <w:t xml:space="preserve">ore diverse pool of people entering the profession </w:t>
      </w:r>
      <w:r>
        <w:rPr>
          <w:i/>
          <w:iCs/>
        </w:rPr>
        <w:t>and</w:t>
      </w:r>
      <w:r w:rsidRPr="00982D20">
        <w:rPr>
          <w:i/>
          <w:iCs/>
        </w:rPr>
        <w:t xml:space="preserve"> progressing through to senior level. We can contribute to that, but our strategy isn't</w:t>
      </w:r>
      <w:r>
        <w:rPr>
          <w:i/>
          <w:iCs/>
        </w:rPr>
        <w:t xml:space="preserve"> s</w:t>
      </w:r>
      <w:r w:rsidRPr="00982D20">
        <w:rPr>
          <w:i/>
          <w:iCs/>
        </w:rPr>
        <w:t>olely going to resolve th</w:t>
      </w:r>
      <w:r>
        <w:rPr>
          <w:i/>
          <w:iCs/>
        </w:rPr>
        <w:t xml:space="preserve">e </w:t>
      </w:r>
      <w:r w:rsidRPr="00982D20">
        <w:rPr>
          <w:i/>
          <w:iCs/>
        </w:rPr>
        <w:t>structural issue</w:t>
      </w:r>
      <w:r>
        <w:rPr>
          <w:i/>
          <w:iCs/>
        </w:rPr>
        <w:t>s</w:t>
      </w:r>
      <w:r w:rsidRPr="00982D20">
        <w:rPr>
          <w:i/>
          <w:iCs/>
        </w:rPr>
        <w:t xml:space="preserve"> so I would find that very difficult to evaluate.</w:t>
      </w:r>
    </w:p>
    <w:p w14:paraId="0CE5319C" w14:textId="77777777" w:rsidR="00101CCD" w:rsidRDefault="00101CCD" w:rsidP="00101CCD">
      <w:r>
        <w:t xml:space="preserve">The ability to control for the external factors will also vary depending on the nature of the outcomes being evaluated (and the timescales involved). </w:t>
      </w:r>
    </w:p>
    <w:p w14:paraId="4FACF24E" w14:textId="77777777" w:rsidR="00101CCD" w:rsidRDefault="00101CCD" w:rsidP="00101CCD">
      <w:pPr>
        <w:ind w:left="567"/>
        <w:rPr>
          <w:i/>
          <w:iCs/>
        </w:rPr>
      </w:pPr>
      <w:r w:rsidRPr="00477D01">
        <w:rPr>
          <w:i/>
          <w:iCs/>
        </w:rPr>
        <w:t>When we think about outreach, we have less knowledge about potential other factors that could i</w:t>
      </w:r>
      <w:r>
        <w:rPr>
          <w:i/>
          <w:iCs/>
        </w:rPr>
        <w:t>mpa</w:t>
      </w:r>
      <w:r w:rsidRPr="00477D01">
        <w:rPr>
          <w:i/>
          <w:iCs/>
        </w:rPr>
        <w:t xml:space="preserve">ct the outcomes for those students. Whereas when we think about success, we have, some knowledge about what other factors </w:t>
      </w:r>
      <w:proofErr w:type="gramStart"/>
      <w:r w:rsidRPr="00477D01">
        <w:rPr>
          <w:i/>
          <w:iCs/>
        </w:rPr>
        <w:t>are</w:t>
      </w:r>
      <w:proofErr w:type="gramEnd"/>
      <w:r w:rsidRPr="00477D01">
        <w:rPr>
          <w:i/>
          <w:iCs/>
        </w:rPr>
        <w:t xml:space="preserve"> in play institutionally. That helps, but it's </w:t>
      </w:r>
      <w:proofErr w:type="gramStart"/>
      <w:r w:rsidRPr="00477D01">
        <w:rPr>
          <w:i/>
          <w:iCs/>
        </w:rPr>
        <w:t>really difficult</w:t>
      </w:r>
      <w:proofErr w:type="gramEnd"/>
      <w:r w:rsidRPr="00477D01">
        <w:rPr>
          <w:i/>
          <w:iCs/>
        </w:rPr>
        <w:t xml:space="preserve"> to control for in</w:t>
      </w:r>
      <w:r>
        <w:rPr>
          <w:i/>
          <w:iCs/>
        </w:rPr>
        <w:t xml:space="preserve"> an</w:t>
      </w:r>
      <w:r w:rsidRPr="00477D01">
        <w:rPr>
          <w:i/>
          <w:iCs/>
        </w:rPr>
        <w:t xml:space="preserve"> experimental way because</w:t>
      </w:r>
      <w:r>
        <w:rPr>
          <w:i/>
          <w:iCs/>
        </w:rPr>
        <w:t xml:space="preserve"> </w:t>
      </w:r>
      <w:r w:rsidRPr="00477D01">
        <w:rPr>
          <w:i/>
          <w:iCs/>
        </w:rPr>
        <w:t xml:space="preserve">students might self-select to access student support alongside our other interventions. </w:t>
      </w:r>
    </w:p>
    <w:p w14:paraId="36C5DB13" w14:textId="7FD40350" w:rsidR="00370DA9" w:rsidRPr="00370DA9" w:rsidRDefault="00370DA9" w:rsidP="00370DA9">
      <w:r>
        <w:t>The delivery factors increasingly need to be viewed as part of the evaluation</w:t>
      </w:r>
      <w:r w:rsidR="00273CBC">
        <w:t xml:space="preserve"> since</w:t>
      </w:r>
      <w:r>
        <w:t xml:space="preserve"> a delivery context may not have perfect control over the intervention </w:t>
      </w:r>
      <w:r w:rsidR="00273CBC">
        <w:t xml:space="preserve">- </w:t>
      </w:r>
      <w:r>
        <w:t>understanding the context for delivery helps to explain what happened. The traditional approach to randomisation or a quasi-experiment is designed to eliminate differences, but theory-based methods of evaluation can usually better deal with evaluating complexity</w:t>
      </w:r>
      <w:r w:rsidR="000A04E6">
        <w:t>. U</w:t>
      </w:r>
      <w:r>
        <w:t xml:space="preserve">npicking the theory can help to pin down what </w:t>
      </w:r>
      <w:r w:rsidR="00BC44FA">
        <w:t xml:space="preserve">has </w:t>
      </w:r>
      <w:r>
        <w:t>happen</w:t>
      </w:r>
      <w:r w:rsidR="00BC44FA">
        <w:t>ed</w:t>
      </w:r>
      <w:r>
        <w:t xml:space="preserve"> in terms of the causal linkages</w:t>
      </w:r>
      <w:r w:rsidR="00BC44FA">
        <w:t xml:space="preserve"> and underpinning mechanisms</w:t>
      </w:r>
      <w:r>
        <w:t xml:space="preserve">. </w:t>
      </w:r>
    </w:p>
    <w:tbl>
      <w:tblPr>
        <w:tblStyle w:val="TableGrid"/>
        <w:tblW w:w="0" w:type="auto"/>
        <w:tblLook w:val="04A0" w:firstRow="1" w:lastRow="0" w:firstColumn="1" w:lastColumn="0" w:noHBand="0" w:noVBand="1"/>
      </w:tblPr>
      <w:tblGrid>
        <w:gridCol w:w="9638"/>
      </w:tblGrid>
      <w:tr w:rsidR="005743A6" w14:paraId="517AF1F2" w14:textId="77777777" w:rsidTr="00AB4665">
        <w:tc>
          <w:tcPr>
            <w:tcW w:w="9638" w:type="dxa"/>
          </w:tcPr>
          <w:p w14:paraId="4ACCFAE5" w14:textId="16C596E2" w:rsidR="005743A6" w:rsidRPr="00C964A4" w:rsidRDefault="005743A6" w:rsidP="005743A6">
            <w:pPr>
              <w:rPr>
                <w:b/>
                <w:bCs/>
              </w:rPr>
            </w:pPr>
            <w:r w:rsidRPr="00C964A4">
              <w:rPr>
                <w:b/>
                <w:bCs/>
              </w:rPr>
              <w:t xml:space="preserve">Challenge </w:t>
            </w:r>
            <w:r w:rsidR="00D879C9">
              <w:rPr>
                <w:b/>
                <w:bCs/>
              </w:rPr>
              <w:t>4</w:t>
            </w:r>
            <w:r w:rsidRPr="00C964A4">
              <w:rPr>
                <w:b/>
                <w:bCs/>
              </w:rPr>
              <w:t xml:space="preserve">: </w:t>
            </w:r>
            <w:r w:rsidR="009437D0">
              <w:rPr>
                <w:b/>
                <w:bCs/>
              </w:rPr>
              <w:t>Methodologies appropriate to the context</w:t>
            </w:r>
          </w:p>
          <w:p w14:paraId="34C1EEA5" w14:textId="46981498" w:rsidR="005743A6" w:rsidRDefault="002D6FF0" w:rsidP="002D6FF0">
            <w:r>
              <w:lastRenderedPageBreak/>
              <w:t>There is increasing interest in theory</w:t>
            </w:r>
            <w:r w:rsidR="00BC6566">
              <w:t>-based</w:t>
            </w:r>
            <w:r>
              <w:t xml:space="preserve"> evaluation as a way of maximising the learning from evaluation (and making best use of evaluation resources). This is not only for ‘</w:t>
            </w:r>
            <w:r w:rsidR="005743A6">
              <w:t xml:space="preserve">small </w:t>
            </w:r>
            <w:r>
              <w:t xml:space="preserve">n’ </w:t>
            </w:r>
            <w:r w:rsidR="005743A6">
              <w:t>providers</w:t>
            </w:r>
            <w:r>
              <w:t xml:space="preserve"> and delivery cohorts</w:t>
            </w:r>
            <w:r w:rsidR="009254DE">
              <w:t xml:space="preserve"> (</w:t>
            </w:r>
            <w:r w:rsidR="005743A6">
              <w:t xml:space="preserve">who also have less scope for quantitative methods so </w:t>
            </w:r>
            <w:proofErr w:type="gramStart"/>
            <w:r w:rsidR="005743A6">
              <w:t>have to</w:t>
            </w:r>
            <w:proofErr w:type="gramEnd"/>
            <w:r w:rsidR="005743A6">
              <w:t xml:space="preserve"> be more creative in their approaches to evaluation</w:t>
            </w:r>
            <w:r w:rsidR="009254DE">
              <w:t>) but also for other types of provision given the complexity of access and participation interventions in general</w:t>
            </w:r>
            <w:r w:rsidR="005743A6">
              <w:t xml:space="preserve">. </w:t>
            </w:r>
            <w:r w:rsidR="00F22E6E">
              <w:t>An issue for the standards is providing</w:t>
            </w:r>
            <w:r w:rsidR="005743A6">
              <w:t xml:space="preserve"> a framework that is </w:t>
            </w:r>
            <w:r w:rsidR="005743A6" w:rsidRPr="00B64154">
              <w:t>even handed in terms of ability of different types of providers</w:t>
            </w:r>
            <w:r w:rsidR="00D5581B">
              <w:t xml:space="preserve">, and different delivery contexts, </w:t>
            </w:r>
            <w:r w:rsidR="005743A6" w:rsidRPr="00B64154">
              <w:t xml:space="preserve">to engage with </w:t>
            </w:r>
            <w:r w:rsidR="00623032">
              <w:t>stron</w:t>
            </w:r>
            <w:r w:rsidR="002D39F3">
              <w:t>ger type</w:t>
            </w:r>
            <w:r w:rsidR="00D5581B">
              <w:t>s</w:t>
            </w:r>
            <w:r w:rsidR="002D39F3">
              <w:t xml:space="preserve"> of </w:t>
            </w:r>
            <w:r w:rsidR="00D5581B">
              <w:t>evidence</w:t>
            </w:r>
            <w:r w:rsidR="005743A6">
              <w:t xml:space="preserve"> </w:t>
            </w:r>
            <w:r w:rsidR="00D5581B">
              <w:t xml:space="preserve">within Type 2/3 </w:t>
            </w:r>
            <w:r w:rsidR="00145F86">
              <w:t>evaluations</w:t>
            </w:r>
            <w:r w:rsidR="005743A6">
              <w:t xml:space="preserve">. </w:t>
            </w:r>
          </w:p>
          <w:p w14:paraId="78D42CD5" w14:textId="1276CFC8" w:rsidR="0035048D" w:rsidRDefault="0035048D" w:rsidP="0035048D">
            <w:r w:rsidRPr="00B61E7F">
              <w:rPr>
                <w:rStyle w:val="Heading4Char"/>
                <w:b/>
                <w:bCs/>
                <w:i w:val="0"/>
                <w:iCs w:val="0"/>
              </w:rPr>
              <w:t xml:space="preserve">Challenge </w:t>
            </w:r>
            <w:r w:rsidR="00D879C9">
              <w:rPr>
                <w:rStyle w:val="Heading4Char"/>
                <w:b/>
                <w:bCs/>
                <w:i w:val="0"/>
                <w:iCs w:val="0"/>
              </w:rPr>
              <w:t>5</w:t>
            </w:r>
            <w:r w:rsidRPr="00B61E7F">
              <w:rPr>
                <w:rStyle w:val="Heading4Char"/>
                <w:b/>
                <w:bCs/>
                <w:i w:val="0"/>
                <w:iCs w:val="0"/>
              </w:rPr>
              <w:t xml:space="preserve">: </w:t>
            </w:r>
            <w:r w:rsidR="00573DC9">
              <w:rPr>
                <w:rStyle w:val="Heading4Char"/>
                <w:b/>
                <w:bCs/>
                <w:i w:val="0"/>
                <w:iCs w:val="0"/>
              </w:rPr>
              <w:t>D</w:t>
            </w:r>
            <w:r w:rsidRPr="00B61E7F">
              <w:rPr>
                <w:rStyle w:val="Heading4Char"/>
                <w:b/>
                <w:bCs/>
                <w:i w:val="0"/>
                <w:iCs w:val="0"/>
              </w:rPr>
              <w:t>eal</w:t>
            </w:r>
            <w:r w:rsidR="00573DC9">
              <w:rPr>
                <w:rStyle w:val="Heading4Char"/>
                <w:b/>
                <w:bCs/>
                <w:i w:val="0"/>
                <w:iCs w:val="0"/>
              </w:rPr>
              <w:t>i</w:t>
            </w:r>
            <w:r w:rsidR="00573DC9" w:rsidRPr="00573DC9">
              <w:rPr>
                <w:rStyle w:val="Heading4Char"/>
                <w:b/>
                <w:bCs/>
                <w:i w:val="0"/>
                <w:iCs w:val="0"/>
              </w:rPr>
              <w:t>ng</w:t>
            </w:r>
            <w:r w:rsidRPr="00573DC9">
              <w:rPr>
                <w:rStyle w:val="Heading4Char"/>
                <w:b/>
                <w:bCs/>
                <w:i w:val="0"/>
                <w:iCs w:val="0"/>
              </w:rPr>
              <w:t xml:space="preserve"> </w:t>
            </w:r>
            <w:r w:rsidRPr="00B61E7F">
              <w:rPr>
                <w:rStyle w:val="Heading4Char"/>
                <w:b/>
                <w:bCs/>
                <w:i w:val="0"/>
                <w:iCs w:val="0"/>
              </w:rPr>
              <w:t>with context in impact evaluation</w:t>
            </w:r>
          </w:p>
          <w:p w14:paraId="1E056EDE" w14:textId="3298C2FC" w:rsidR="005743A6" w:rsidRDefault="0035048D" w:rsidP="00035574">
            <w:r>
              <w:t xml:space="preserve">A central question in </w:t>
            </w:r>
            <w:r w:rsidR="00D73697">
              <w:t xml:space="preserve">terms of which methods are most useful for impact evaluation </w:t>
            </w:r>
            <w:r>
              <w:t>is how to deal with contextual factors as part of an impact evaluation: should context be controlled for (</w:t>
            </w:r>
            <w:r w:rsidR="00887F22">
              <w:t xml:space="preserve">e.g. </w:t>
            </w:r>
            <w:r>
              <w:t>as in an experimental approach) or</w:t>
            </w:r>
            <w:r w:rsidR="00887F22">
              <w:t xml:space="preserve"> should the contextual factors be</w:t>
            </w:r>
            <w:r>
              <w:t xml:space="preserve"> embraced as part of the explanatory factors for impact (</w:t>
            </w:r>
            <w:r w:rsidR="00887F22">
              <w:t xml:space="preserve">e.g. </w:t>
            </w:r>
            <w:r>
              <w:t>as in a realist approach</w:t>
            </w:r>
            <w:r w:rsidR="00906109">
              <w:t>, or theory of change approach,</w:t>
            </w:r>
            <w:r>
              <w:t xml:space="preserve"> to evaluating impact).</w:t>
            </w:r>
            <w:r w:rsidR="00887F22">
              <w:t xml:space="preserve"> </w:t>
            </w:r>
            <w:r w:rsidR="005C5FE6">
              <w:t>Evaluation of</w:t>
            </w:r>
            <w:r w:rsidR="00887F22">
              <w:t xml:space="preserve"> complex</w:t>
            </w:r>
            <w:r w:rsidR="005C5FE6">
              <w:t xml:space="preserve"> interventions is likely to require a contextualised understanding of the mechanisms involved</w:t>
            </w:r>
            <w:r w:rsidR="00340297">
              <w:t>, and this can also be the basis of making causal inferences</w:t>
            </w:r>
            <w:r w:rsidR="005C5FE6">
              <w:t xml:space="preserve">. </w:t>
            </w:r>
          </w:p>
        </w:tc>
      </w:tr>
    </w:tbl>
    <w:p w14:paraId="19972CB0" w14:textId="77777777" w:rsidR="0099254E" w:rsidRPr="0099254E" w:rsidRDefault="0099254E" w:rsidP="0099254E">
      <w:pPr>
        <w:pStyle w:val="Gap"/>
        <w:rPr>
          <w:sz w:val="2"/>
          <w:szCs w:val="2"/>
        </w:rPr>
      </w:pPr>
      <w:bookmarkStart w:id="63" w:name="_Toc204556365"/>
      <w:bookmarkStart w:id="64" w:name="_Toc204556576"/>
    </w:p>
    <w:p w14:paraId="22E7190C" w14:textId="1F02807F" w:rsidR="00B80391" w:rsidRDefault="00B80391" w:rsidP="00B16C10">
      <w:pPr>
        <w:pStyle w:val="Heading2"/>
      </w:pPr>
      <w:bookmarkStart w:id="65" w:name="_Toc205504269"/>
      <w:r>
        <w:t xml:space="preserve">Organisational/structural changes and the </w:t>
      </w:r>
      <w:r w:rsidR="0057337A">
        <w:t>‘whole provider approach’ (</w:t>
      </w:r>
      <w:r>
        <w:t>WPA</w:t>
      </w:r>
      <w:r w:rsidR="0057337A">
        <w:t>)</w:t>
      </w:r>
      <w:bookmarkEnd w:id="63"/>
      <w:bookmarkEnd w:id="64"/>
      <w:bookmarkEnd w:id="65"/>
    </w:p>
    <w:p w14:paraId="551AEE04" w14:textId="77777777" w:rsidR="006B7AA2" w:rsidRDefault="00B80391" w:rsidP="00B80391">
      <w:proofErr w:type="spellStart"/>
      <w:r w:rsidRPr="00891DB7">
        <w:t>OfS</w:t>
      </w:r>
      <w:proofErr w:type="spellEnd"/>
      <w:r w:rsidRPr="00891DB7">
        <w:t xml:space="preserve"> guidance defines the whole provider approach as </w:t>
      </w:r>
      <w:r>
        <w:t>‘</w:t>
      </w:r>
      <w:r w:rsidRPr="00891DB7">
        <w:t>a description of how staff from departments and services across the provider are led and engaged to ensure that its students are supported to access, succeed in and progress from their time at the provider</w:t>
      </w:r>
      <w:r>
        <w:t xml:space="preserve">’. </w:t>
      </w:r>
    </w:p>
    <w:p w14:paraId="0529FE80" w14:textId="2902CD61" w:rsidR="006B7AA2" w:rsidRDefault="006B7AA2" w:rsidP="006B7AA2">
      <w:r>
        <w:t xml:space="preserve">The WPA raises questions regarding aspects such as leadership, culture and inclusiveness. </w:t>
      </w:r>
    </w:p>
    <w:p w14:paraId="37152F52" w14:textId="77777777" w:rsidR="006B7AA2" w:rsidRPr="00E03F68" w:rsidRDefault="006B7AA2" w:rsidP="006B7AA2">
      <w:pPr>
        <w:ind w:left="567"/>
        <w:rPr>
          <w:i/>
          <w:iCs/>
        </w:rPr>
      </w:pPr>
      <w:r w:rsidRPr="00E03F68">
        <w:rPr>
          <w:i/>
          <w:iCs/>
        </w:rPr>
        <w:t xml:space="preserve">For me WPA is everyone understanding the strategy and that we’ve got gaps: </w:t>
      </w:r>
      <w:proofErr w:type="gramStart"/>
      <w:r w:rsidRPr="00E03F68">
        <w:rPr>
          <w:i/>
          <w:iCs/>
        </w:rPr>
        <w:t>generally</w:t>
      </w:r>
      <w:proofErr w:type="gramEnd"/>
      <w:r w:rsidRPr="00E03F68">
        <w:rPr>
          <w:i/>
          <w:iCs/>
        </w:rPr>
        <w:t xml:space="preserve"> people </w:t>
      </w:r>
      <w:proofErr w:type="gramStart"/>
      <w:r w:rsidRPr="00E03F68">
        <w:rPr>
          <w:i/>
          <w:iCs/>
        </w:rPr>
        <w:t>having an understanding of</w:t>
      </w:r>
      <w:proofErr w:type="gramEnd"/>
      <w:r w:rsidRPr="00E03F68">
        <w:rPr>
          <w:i/>
          <w:iCs/>
        </w:rPr>
        <w:t xml:space="preserve"> the barriers. A change of culture of the place. </w:t>
      </w:r>
    </w:p>
    <w:p w14:paraId="461AFA69" w14:textId="58C379C9" w:rsidR="00B80391" w:rsidRDefault="006B7AA2" w:rsidP="00B80391">
      <w:r>
        <w:t xml:space="preserve">Organisational and structural changes tend to be qualitative and values-based which is a problem for the application of quantitative methods. </w:t>
      </w:r>
      <w:r w:rsidR="00B82BEC">
        <w:t>Moreover, d</w:t>
      </w:r>
      <w:r w:rsidR="00B80391">
        <w:t>evelopments in a whole provider approach</w:t>
      </w:r>
      <w:r w:rsidR="000E51AB">
        <w:t xml:space="preserve"> </w:t>
      </w:r>
      <w:r w:rsidR="00B82BEC">
        <w:t>including</w:t>
      </w:r>
      <w:r w:rsidR="00B80391">
        <w:t xml:space="preserve"> joining-up of different </w:t>
      </w:r>
      <w:r w:rsidR="00D11799">
        <w:t>services</w:t>
      </w:r>
      <w:r w:rsidR="00B80391">
        <w:t xml:space="preserve"> to meet </w:t>
      </w:r>
      <w:r w:rsidR="00D11799">
        <w:t>an</w:t>
      </w:r>
      <w:r w:rsidR="00B80391">
        <w:t xml:space="preserve"> </w:t>
      </w:r>
      <w:r w:rsidR="00DE0AFB">
        <w:t xml:space="preserve">equity </w:t>
      </w:r>
      <w:r w:rsidR="00B80391">
        <w:t>objective</w:t>
      </w:r>
      <w:r w:rsidR="00B82BEC">
        <w:t xml:space="preserve"> (with </w:t>
      </w:r>
      <w:r w:rsidR="00B80391">
        <w:t>linkages to quality mechanisms (</w:t>
      </w:r>
      <w:r w:rsidR="00235C29">
        <w:t>i.e.</w:t>
      </w:r>
      <w:r w:rsidR="00B80391">
        <w:t xml:space="preserve"> </w:t>
      </w:r>
      <w:r w:rsidR="00235C29">
        <w:t xml:space="preserve">The </w:t>
      </w:r>
      <w:r w:rsidR="00B80391">
        <w:t>Teaching Excellence Framework (TEF) and B3 accountability metrics</w:t>
      </w:r>
      <w:r w:rsidR="00B82BEC">
        <w:t>))</w:t>
      </w:r>
      <w:r w:rsidR="00B80391">
        <w:t xml:space="preserve">. </w:t>
      </w:r>
      <w:r w:rsidR="00C7722C">
        <w:t>The fact that widening participation has moved out of the realm of ‘special’ interventions is another reason why new lenses through which to look at impact are potentially required</w:t>
      </w:r>
      <w:r w:rsidR="00C67066">
        <w:t>,</w:t>
      </w:r>
      <w:r w:rsidR="00C7722C">
        <w:t xml:space="preserve"> because the delivery context </w:t>
      </w:r>
      <w:r w:rsidR="002410F5">
        <w:t>becomes even more</w:t>
      </w:r>
      <w:r w:rsidR="00C7722C">
        <w:t xml:space="preserve"> complicated</w:t>
      </w:r>
      <w:r w:rsidR="002410F5">
        <w:t xml:space="preserve"> when thinking about institutional level impact</w:t>
      </w:r>
      <w:r w:rsidR="00C7722C">
        <w:t xml:space="preserve">. </w:t>
      </w:r>
      <w:r w:rsidR="00B80391">
        <w:t>One of the main implications emerging for impact is disentangling the contribution of different interventions, programmes and initiatives and the regular business of inclusive higher education</w:t>
      </w:r>
      <w:r w:rsidR="00A84F4D">
        <w:t>.</w:t>
      </w:r>
    </w:p>
    <w:p w14:paraId="2C2E5A58" w14:textId="04011E71" w:rsidR="00B80391" w:rsidRDefault="00B80391" w:rsidP="00B80391">
      <w:pPr>
        <w:ind w:left="567"/>
        <w:rPr>
          <w:i/>
          <w:iCs/>
        </w:rPr>
      </w:pPr>
      <w:r w:rsidRPr="00477D01">
        <w:rPr>
          <w:i/>
          <w:iCs/>
        </w:rPr>
        <w:t xml:space="preserve">As a strategy, I can see what the vision is and how it will contribute, but we can't just run some kind of quasi experimental evaluation and say, oh, is our intervention strategy on inequalities effective? </w:t>
      </w:r>
    </w:p>
    <w:p w14:paraId="094CAFD3" w14:textId="26C993E5" w:rsidR="00B80391" w:rsidRPr="00EF4518" w:rsidRDefault="00FE0FFD" w:rsidP="00B80391">
      <w:pPr>
        <w:ind w:left="567"/>
      </w:pPr>
      <w:r>
        <w:rPr>
          <w:i/>
        </w:rPr>
        <w:t>T</w:t>
      </w:r>
      <w:r w:rsidR="00B80391" w:rsidRPr="00912E9A">
        <w:rPr>
          <w:i/>
          <w:iCs/>
        </w:rPr>
        <w:t>here's lots of activity going on</w:t>
      </w:r>
      <w:r w:rsidR="003C53A7">
        <w:rPr>
          <w:i/>
          <w:iCs/>
        </w:rPr>
        <w:t xml:space="preserve"> </w:t>
      </w:r>
      <w:r w:rsidR="00B80391" w:rsidRPr="00912E9A">
        <w:rPr>
          <w:i/>
          <w:iCs/>
        </w:rPr>
        <w:t xml:space="preserve">either </w:t>
      </w:r>
      <w:r>
        <w:rPr>
          <w:i/>
          <w:iCs/>
        </w:rPr>
        <w:t>at</w:t>
      </w:r>
      <w:r w:rsidR="00B80391" w:rsidRPr="00912E9A">
        <w:rPr>
          <w:i/>
          <w:iCs/>
        </w:rPr>
        <w:t xml:space="preserve"> broad institutional level or departmental level. We're all trying to address the same problems</w:t>
      </w:r>
      <w:r w:rsidR="00075A77">
        <w:rPr>
          <w:i/>
          <w:iCs/>
        </w:rPr>
        <w:t>. H</w:t>
      </w:r>
      <w:r w:rsidR="00B80391" w:rsidRPr="00912E9A">
        <w:rPr>
          <w:i/>
          <w:iCs/>
        </w:rPr>
        <w:t xml:space="preserve">ow can we over here say our racially inclusive assessment piece is the thing that's improved outcomes for attainment for Black and Asian students when student support might be saying, well, </w:t>
      </w:r>
      <w:proofErr w:type="gramStart"/>
      <w:r w:rsidR="00B80391" w:rsidRPr="00912E9A">
        <w:rPr>
          <w:i/>
          <w:iCs/>
        </w:rPr>
        <w:t>actually we've</w:t>
      </w:r>
      <w:proofErr w:type="gramEnd"/>
      <w:r w:rsidR="00B80391" w:rsidRPr="00912E9A">
        <w:rPr>
          <w:i/>
          <w:iCs/>
        </w:rPr>
        <w:t xml:space="preserve"> made our coaching model more racially inclusive, for example</w:t>
      </w:r>
      <w:r w:rsidR="00617EA1">
        <w:rPr>
          <w:i/>
          <w:iCs/>
        </w:rPr>
        <w:t xml:space="preserve">. </w:t>
      </w:r>
      <w:r w:rsidR="009A7EB6">
        <w:rPr>
          <w:i/>
          <w:iCs/>
        </w:rPr>
        <w:t>That’s why it’s</w:t>
      </w:r>
      <w:r w:rsidR="00B80391" w:rsidRPr="00912E9A">
        <w:rPr>
          <w:i/>
          <w:iCs/>
        </w:rPr>
        <w:t xml:space="preserve"> important to know how</w:t>
      </w:r>
      <w:r w:rsidR="0085315B">
        <w:rPr>
          <w:i/>
          <w:iCs/>
        </w:rPr>
        <w:t xml:space="preserve"> and why</w:t>
      </w:r>
      <w:r w:rsidR="00B80391" w:rsidRPr="00912E9A">
        <w:rPr>
          <w:i/>
          <w:iCs/>
        </w:rPr>
        <w:t xml:space="preserve"> things are working and not just </w:t>
      </w:r>
      <w:r w:rsidR="009A7EB6">
        <w:rPr>
          <w:i/>
          <w:iCs/>
        </w:rPr>
        <w:t>throw</w:t>
      </w:r>
      <w:r w:rsidR="00B80391" w:rsidRPr="00912E9A">
        <w:rPr>
          <w:i/>
          <w:iCs/>
        </w:rPr>
        <w:t xml:space="preserve"> a load of stuff at a wall and see what sticks.</w:t>
      </w:r>
    </w:p>
    <w:p w14:paraId="5593E041" w14:textId="77777777" w:rsidR="00F9299E" w:rsidRDefault="00F9299E" w:rsidP="00F9299E">
      <w:r>
        <w:t xml:space="preserve">This context is different to the one in which the standards of evidence were originally developed (which was the narrow context of thinking about the impact of outreach on aspirations for higher education). </w:t>
      </w:r>
    </w:p>
    <w:p w14:paraId="149DF778" w14:textId="22E17385" w:rsidR="00C20659" w:rsidRDefault="00F9299E" w:rsidP="00C20659">
      <w:pPr>
        <w:ind w:left="567"/>
        <w:rPr>
          <w:i/>
          <w:iCs/>
        </w:rPr>
      </w:pPr>
      <w:proofErr w:type="gramStart"/>
      <w:r w:rsidRPr="00FE3854">
        <w:rPr>
          <w:i/>
          <w:iCs/>
        </w:rPr>
        <w:t>Obviously</w:t>
      </w:r>
      <w:proofErr w:type="gramEnd"/>
      <w:r w:rsidRPr="00FE3854">
        <w:rPr>
          <w:i/>
          <w:iCs/>
        </w:rPr>
        <w:t xml:space="preserve"> there are still people who are very outreach focused within their work, but most people I guess within the space would be looking at </w:t>
      </w:r>
      <w:r w:rsidR="003F0F16">
        <w:rPr>
          <w:i/>
          <w:iCs/>
        </w:rPr>
        <w:t xml:space="preserve">that </w:t>
      </w:r>
      <w:r w:rsidRPr="00FE3854">
        <w:rPr>
          <w:i/>
          <w:iCs/>
        </w:rPr>
        <w:t>cross lifecycle aspect. If you look at it from the point of view of an intervention strategy, you might have organisational indicators and you might have staff related outcomes as well, so it's not just student outcomes that you might be interested in. It's hard to do an RCT on a staff outcome.</w:t>
      </w:r>
    </w:p>
    <w:p w14:paraId="16CDD4FC" w14:textId="4710FDDD" w:rsidR="000971A8" w:rsidRDefault="00E74717" w:rsidP="000971A8">
      <w:r>
        <w:t>Case institution approaches to whole organisation level evaluation are not yet fully formed. O</w:t>
      </w:r>
      <w:r w:rsidR="000971A8">
        <w:t xml:space="preserve">verall, APP evaluations </w:t>
      </w:r>
      <w:proofErr w:type="gramStart"/>
      <w:r w:rsidR="000971A8">
        <w:t>remain</w:t>
      </w:r>
      <w:r>
        <w:t>s</w:t>
      </w:r>
      <w:proofErr w:type="gramEnd"/>
      <w:r w:rsidR="000971A8">
        <w:t xml:space="preserve"> intervention focused, and there is more work </w:t>
      </w:r>
      <w:r w:rsidR="00B04F56">
        <w:t>needed</w:t>
      </w:r>
      <w:r w:rsidR="000971A8">
        <w:t xml:space="preserve"> </w:t>
      </w:r>
      <w:r w:rsidR="00B04F56">
        <w:t xml:space="preserve">on </w:t>
      </w:r>
      <w:r w:rsidR="000971A8">
        <w:t>evaluation</w:t>
      </w:r>
      <w:r w:rsidR="00B04F56">
        <w:t xml:space="preserve"> types</w:t>
      </w:r>
      <w:r w:rsidR="000971A8">
        <w:t xml:space="preserve"> and methods that will be most appropriate for institution-wide </w:t>
      </w:r>
      <w:r w:rsidR="005A2A1C">
        <w:t>evaluations</w:t>
      </w:r>
      <w:r w:rsidR="000971A8">
        <w:t xml:space="preserve">. </w:t>
      </w:r>
    </w:p>
    <w:p w14:paraId="71708835" w14:textId="77777777" w:rsidR="000971A8" w:rsidRDefault="000971A8" w:rsidP="000971A8">
      <w:pPr>
        <w:ind w:left="567"/>
        <w:rPr>
          <w:i/>
          <w:iCs/>
        </w:rPr>
      </w:pPr>
      <w:r>
        <w:rPr>
          <w:i/>
          <w:iCs/>
        </w:rPr>
        <w:t>W</w:t>
      </w:r>
      <w:r w:rsidRPr="00431008">
        <w:rPr>
          <w:i/>
          <w:iCs/>
        </w:rPr>
        <w:t>e don’t have in-house evaluation capacity for understanding ourselves. For understanding how all our parts work towards the end goal.</w:t>
      </w:r>
    </w:p>
    <w:p w14:paraId="05265018" w14:textId="0715B118" w:rsidR="000971A8" w:rsidRPr="002D6059" w:rsidRDefault="000971A8" w:rsidP="000971A8">
      <w:pPr>
        <w:ind w:left="567"/>
        <w:rPr>
          <w:i/>
          <w:iCs/>
        </w:rPr>
      </w:pPr>
      <w:r w:rsidRPr="00210857">
        <w:lastRenderedPageBreak/>
        <w:t>[</w:t>
      </w:r>
      <w:r w:rsidR="005A2A1C">
        <w:t>E</w:t>
      </w:r>
      <w:r w:rsidRPr="00210857">
        <w:t>valuation</w:t>
      </w:r>
      <w:r w:rsidR="005A2A1C">
        <w:t xml:space="preserve"> is</w:t>
      </w:r>
      <w:r w:rsidRPr="00210857">
        <w:t xml:space="preserve">] </w:t>
      </w:r>
      <w:r w:rsidRPr="00A110CA">
        <w:rPr>
          <w:i/>
          <w:iCs/>
        </w:rPr>
        <w:t>easier if there’s a team in a space delivering on a plan. Shift</w:t>
      </w:r>
      <w:r>
        <w:rPr>
          <w:i/>
          <w:iCs/>
        </w:rPr>
        <w:t>ing</w:t>
      </w:r>
      <w:r w:rsidRPr="00A110CA">
        <w:rPr>
          <w:i/>
          <w:iCs/>
        </w:rPr>
        <w:t xml:space="preserve"> to </w:t>
      </w:r>
      <w:r w:rsidR="00AD57D6">
        <w:rPr>
          <w:i/>
          <w:iCs/>
        </w:rPr>
        <w:t xml:space="preserve">a whole provider approach </w:t>
      </w:r>
      <w:r w:rsidRPr="00A110CA">
        <w:rPr>
          <w:i/>
          <w:iCs/>
        </w:rPr>
        <w:t>has added a layer of complexity. Can existing mechanisms here change and be made fit for purpose</w:t>
      </w:r>
      <w:r w:rsidR="00DB7CD8">
        <w:rPr>
          <w:i/>
          <w:iCs/>
        </w:rPr>
        <w:t>?</w:t>
      </w:r>
      <w:r w:rsidRPr="00A110CA">
        <w:rPr>
          <w:i/>
          <w:iCs/>
        </w:rPr>
        <w:t xml:space="preserve"> Stuffs happening across the board but not all of it is being evaluated. That relies on them </w:t>
      </w:r>
      <w:r w:rsidRPr="00D144DA">
        <w:t>[practitioners]</w:t>
      </w:r>
      <w:r w:rsidRPr="00A110CA">
        <w:rPr>
          <w:i/>
          <w:iCs/>
        </w:rPr>
        <w:t xml:space="preserve"> being forthcoming. For WP we are focused, but trying to embed evaluation is harder in programmes where we don’t know the impact and there’s no </w:t>
      </w:r>
      <w:r w:rsidRPr="00210857">
        <w:t xml:space="preserve">[evaluation] </w:t>
      </w:r>
      <w:r w:rsidRPr="00A110CA">
        <w:rPr>
          <w:i/>
          <w:iCs/>
        </w:rPr>
        <w:t xml:space="preserve">resource. </w:t>
      </w:r>
      <w:r>
        <w:rPr>
          <w:i/>
          <w:iCs/>
        </w:rPr>
        <w:t>We s</w:t>
      </w:r>
      <w:r w:rsidRPr="00A110CA">
        <w:rPr>
          <w:i/>
          <w:iCs/>
        </w:rPr>
        <w:t xml:space="preserve">ee duplication, similar initiatives especially </w:t>
      </w:r>
      <w:r>
        <w:rPr>
          <w:i/>
          <w:iCs/>
        </w:rPr>
        <w:t xml:space="preserve">in </w:t>
      </w:r>
      <w:r w:rsidRPr="00A110CA">
        <w:rPr>
          <w:i/>
          <w:iCs/>
        </w:rPr>
        <w:t xml:space="preserve">race equality. </w:t>
      </w:r>
      <w:r>
        <w:rPr>
          <w:i/>
          <w:iCs/>
        </w:rPr>
        <w:t>We’</w:t>
      </w:r>
      <w:r w:rsidR="003D5726">
        <w:rPr>
          <w:i/>
          <w:iCs/>
        </w:rPr>
        <w:t>v</w:t>
      </w:r>
      <w:r>
        <w:rPr>
          <w:i/>
          <w:iCs/>
        </w:rPr>
        <w:t>e al</w:t>
      </w:r>
      <w:r w:rsidRPr="00A110CA">
        <w:rPr>
          <w:i/>
          <w:iCs/>
        </w:rPr>
        <w:t xml:space="preserve">l got </w:t>
      </w:r>
      <w:r w:rsidR="003D5726">
        <w:rPr>
          <w:i/>
          <w:iCs/>
        </w:rPr>
        <w:t xml:space="preserve">a </w:t>
      </w:r>
      <w:r w:rsidRPr="00A110CA">
        <w:rPr>
          <w:i/>
          <w:iCs/>
        </w:rPr>
        <w:t>vested interest, but what it is doing</w:t>
      </w:r>
      <w:r>
        <w:rPr>
          <w:i/>
          <w:iCs/>
        </w:rPr>
        <w:t>?</w:t>
      </w:r>
      <w:r w:rsidRPr="00A110CA">
        <w:rPr>
          <w:i/>
          <w:iCs/>
        </w:rPr>
        <w:t xml:space="preserve"> where does evaluation fit </w:t>
      </w:r>
      <w:r>
        <w:rPr>
          <w:i/>
          <w:iCs/>
        </w:rPr>
        <w:t>in bringing</w:t>
      </w:r>
      <w:r w:rsidRPr="00A110CA">
        <w:rPr>
          <w:i/>
          <w:iCs/>
        </w:rPr>
        <w:t xml:space="preserve"> things together</w:t>
      </w:r>
      <w:r>
        <w:rPr>
          <w:i/>
          <w:iCs/>
        </w:rPr>
        <w:t>?</w:t>
      </w:r>
      <w:r w:rsidRPr="00A110CA">
        <w:rPr>
          <w:i/>
          <w:iCs/>
        </w:rPr>
        <w:t xml:space="preserve"> What are the initiatives and how </w:t>
      </w:r>
      <w:r>
        <w:rPr>
          <w:i/>
          <w:iCs/>
        </w:rPr>
        <w:t xml:space="preserve">to </w:t>
      </w:r>
      <w:r w:rsidRPr="00A110CA">
        <w:rPr>
          <w:i/>
          <w:iCs/>
        </w:rPr>
        <w:t>evaluate</w:t>
      </w:r>
      <w:r w:rsidR="001E264A">
        <w:rPr>
          <w:i/>
          <w:iCs/>
        </w:rPr>
        <w:t xml:space="preserve"> them</w:t>
      </w:r>
      <w:r w:rsidRPr="00A110CA">
        <w:rPr>
          <w:i/>
          <w:iCs/>
        </w:rPr>
        <w:t xml:space="preserve">? </w:t>
      </w:r>
    </w:p>
    <w:p w14:paraId="618460E5" w14:textId="558C4C08" w:rsidR="00901EFF" w:rsidRPr="008E2D92" w:rsidRDefault="00901EFF" w:rsidP="00901EFF">
      <w:pPr>
        <w:rPr>
          <w:i/>
          <w:iCs/>
        </w:rPr>
      </w:pPr>
      <w:r>
        <w:t xml:space="preserve">Different strategies and initiatives are linking up to support the collective effort. </w:t>
      </w:r>
    </w:p>
    <w:p w14:paraId="2E862076" w14:textId="1818DE21" w:rsidR="00901EFF" w:rsidRPr="000141D9" w:rsidRDefault="00901EFF" w:rsidP="00901EFF">
      <w:pPr>
        <w:ind w:left="567"/>
        <w:rPr>
          <w:i/>
          <w:iCs/>
        </w:rPr>
      </w:pPr>
      <w:r w:rsidRPr="000141D9">
        <w:rPr>
          <w:i/>
          <w:iCs/>
        </w:rPr>
        <w:t>Tracking and benchmarking on B3 metrics – that’s what everyone’s looking at. Evaluation is part of that – outcomes and measures versus awarding gaps comparisons</w:t>
      </w:r>
      <w:r w:rsidR="009C2E8F">
        <w:rPr>
          <w:i/>
          <w:iCs/>
        </w:rPr>
        <w:t xml:space="preserve">. </w:t>
      </w:r>
      <w:r w:rsidRPr="000141D9">
        <w:rPr>
          <w:i/>
          <w:iCs/>
        </w:rPr>
        <w:t xml:space="preserve">It’s opening the door to anything that will lead to an increase in B3 </w:t>
      </w:r>
      <w:proofErr w:type="gramStart"/>
      <w:r w:rsidRPr="000141D9">
        <w:rPr>
          <w:i/>
          <w:iCs/>
        </w:rPr>
        <w:t>metrics</w:t>
      </w:r>
      <w:proofErr w:type="gramEnd"/>
      <w:r>
        <w:rPr>
          <w:i/>
          <w:iCs/>
        </w:rPr>
        <w:t xml:space="preserve"> and t</w:t>
      </w:r>
      <w:r w:rsidRPr="000141D9">
        <w:rPr>
          <w:i/>
          <w:iCs/>
        </w:rPr>
        <w:t xml:space="preserve">his is probably doing more than one thing at the same time. </w:t>
      </w:r>
    </w:p>
    <w:p w14:paraId="024DB45D" w14:textId="77777777" w:rsidR="00B04CAE" w:rsidRPr="008E2D92" w:rsidRDefault="00B04CAE" w:rsidP="00B04CAE">
      <w:pPr>
        <w:rPr>
          <w:i/>
          <w:iCs/>
        </w:rPr>
      </w:pPr>
      <w:r>
        <w:t xml:space="preserve">A helpful consequence for APP evaluations is leverage in the institution for evaluation strengthening – one example of this was evaluators being able to use student outcomes datasets for evaluation as well as monitoring purposes. In some case providers, evaluators are moving out of WP and becoming connected to overall strategy, or other core institutional functions – i.e. strategy and planning, data and analysis teams. Linkages to wider strategies helps to push forward APP evaluation activities because the evidence being collected benefits understanding beyond APP work and </w:t>
      </w:r>
      <w:proofErr w:type="gramStart"/>
      <w:r>
        <w:t>opens up</w:t>
      </w:r>
      <w:proofErr w:type="gramEnd"/>
      <w:r>
        <w:t xml:space="preserve"> new evidence possibilities. </w:t>
      </w:r>
    </w:p>
    <w:p w14:paraId="3973152D" w14:textId="35A296E4" w:rsidR="00B80391" w:rsidRDefault="00901EFF" w:rsidP="00B80391">
      <w:r>
        <w:t>However, a</w:t>
      </w:r>
      <w:r w:rsidR="00B80391">
        <w:t>t least one key informa</w:t>
      </w:r>
      <w:r w:rsidR="00AE3720">
        <w:t>nt</w:t>
      </w:r>
      <w:r w:rsidR="00B80391">
        <w:t xml:space="preserve"> felt unsure about how the organisation would mee</w:t>
      </w:r>
      <w:r w:rsidR="00A865E1">
        <w:t>t</w:t>
      </w:r>
      <w:r w:rsidR="00B80391">
        <w:t xml:space="preserve"> the challenge of evaluating at </w:t>
      </w:r>
      <w:r w:rsidR="00FE3EDF">
        <w:t>a</w:t>
      </w:r>
      <w:r w:rsidR="00B80391">
        <w:t xml:space="preserve"> cross-institutional level in the future. </w:t>
      </w:r>
    </w:p>
    <w:p w14:paraId="0F003A04" w14:textId="03473483" w:rsidR="00B80391" w:rsidRDefault="00B80391" w:rsidP="00B80391">
      <w:pPr>
        <w:tabs>
          <w:tab w:val="left" w:pos="142"/>
        </w:tabs>
        <w:ind w:left="567"/>
        <w:rPr>
          <w:i/>
          <w:iCs/>
        </w:rPr>
      </w:pPr>
      <w:r w:rsidRPr="009B3033">
        <w:rPr>
          <w:i/>
          <w:iCs/>
        </w:rPr>
        <w:t>I think the</w:t>
      </w:r>
      <w:r w:rsidR="00FE3EDF">
        <w:rPr>
          <w:i/>
          <w:iCs/>
        </w:rPr>
        <w:t>re</w:t>
      </w:r>
      <w:r w:rsidRPr="009B3033">
        <w:rPr>
          <w:i/>
          <w:iCs/>
        </w:rPr>
        <w:t xml:space="preserve"> are people now within institutions who will be able to deal with that rather than where we were six years ago. And it's good, obviously</w:t>
      </w:r>
      <w:r w:rsidR="001E264A">
        <w:rPr>
          <w:i/>
          <w:iCs/>
        </w:rPr>
        <w:t>,</w:t>
      </w:r>
      <w:r w:rsidRPr="009B3033">
        <w:rPr>
          <w:i/>
          <w:iCs/>
        </w:rPr>
        <w:t xml:space="preserve"> that </w:t>
      </w:r>
      <w:r w:rsidR="001E264A">
        <w:rPr>
          <w:i/>
          <w:iCs/>
        </w:rPr>
        <w:t>i</w:t>
      </w:r>
      <w:r w:rsidRPr="009B3033">
        <w:rPr>
          <w:i/>
          <w:iCs/>
        </w:rPr>
        <w:t>t's moved on, but what is going to be useful in the future as well when all these issues come through</w:t>
      </w:r>
      <w:r w:rsidR="009D6917">
        <w:rPr>
          <w:i/>
          <w:iCs/>
        </w:rPr>
        <w:t>?</w:t>
      </w:r>
      <w:r w:rsidRPr="009B3033">
        <w:rPr>
          <w:i/>
          <w:iCs/>
        </w:rPr>
        <w:t xml:space="preserve"> </w:t>
      </w:r>
      <w:r w:rsidR="009D6917">
        <w:rPr>
          <w:i/>
          <w:iCs/>
        </w:rPr>
        <w:t>Not just for APP but</w:t>
      </w:r>
      <w:r w:rsidRPr="009B3033">
        <w:rPr>
          <w:i/>
          <w:iCs/>
        </w:rPr>
        <w:t xml:space="preserve"> from a TEF point of view. </w:t>
      </w:r>
    </w:p>
    <w:tbl>
      <w:tblPr>
        <w:tblStyle w:val="TableGrid"/>
        <w:tblW w:w="0" w:type="auto"/>
        <w:tblLook w:val="04A0" w:firstRow="1" w:lastRow="0" w:firstColumn="1" w:lastColumn="0" w:noHBand="0" w:noVBand="1"/>
      </w:tblPr>
      <w:tblGrid>
        <w:gridCol w:w="9638"/>
      </w:tblGrid>
      <w:tr w:rsidR="00993553" w14:paraId="4187DE47" w14:textId="77777777" w:rsidTr="00AB4665">
        <w:tc>
          <w:tcPr>
            <w:tcW w:w="9638" w:type="dxa"/>
          </w:tcPr>
          <w:p w14:paraId="14671001" w14:textId="775B1FD4" w:rsidR="00993553" w:rsidRDefault="00993553" w:rsidP="00993553">
            <w:pPr>
              <w:rPr>
                <w:b/>
                <w:bCs/>
              </w:rPr>
            </w:pPr>
            <w:r>
              <w:rPr>
                <w:b/>
                <w:bCs/>
              </w:rPr>
              <w:t>Challenge</w:t>
            </w:r>
            <w:r w:rsidRPr="00974631">
              <w:rPr>
                <w:b/>
                <w:bCs/>
              </w:rPr>
              <w:t xml:space="preserve"> </w:t>
            </w:r>
            <w:r w:rsidR="00D879C9">
              <w:rPr>
                <w:b/>
                <w:bCs/>
              </w:rPr>
              <w:t>6</w:t>
            </w:r>
            <w:r w:rsidRPr="00974631">
              <w:rPr>
                <w:b/>
                <w:bCs/>
              </w:rPr>
              <w:t xml:space="preserve">: </w:t>
            </w:r>
            <w:r>
              <w:rPr>
                <w:b/>
                <w:bCs/>
              </w:rPr>
              <w:t xml:space="preserve">Embedding evaluation across whole systems </w:t>
            </w:r>
          </w:p>
          <w:p w14:paraId="38EEF05C" w14:textId="18371AB5" w:rsidR="00993553" w:rsidRDefault="00993553" w:rsidP="00202300">
            <w:r>
              <w:t>There is a challenge of e</w:t>
            </w:r>
            <w:r w:rsidRPr="008B00B1">
              <w:t>mbedding evaluation</w:t>
            </w:r>
            <w:r w:rsidR="00917B56">
              <w:t xml:space="preserve"> </w:t>
            </w:r>
            <w:r w:rsidR="00221D0F">
              <w:t xml:space="preserve">across whole systems – and this is especially the case </w:t>
            </w:r>
            <w:r w:rsidRPr="008B00B1">
              <w:t xml:space="preserve">in a </w:t>
            </w:r>
            <w:r>
              <w:t xml:space="preserve">large complex organisation that </w:t>
            </w:r>
            <w:r w:rsidR="00917B56">
              <w:t>is</w:t>
            </w:r>
            <w:r>
              <w:t xml:space="preserve"> constantly changing</w:t>
            </w:r>
            <w:r w:rsidR="00535093">
              <w:t xml:space="preserve">. Whole system evaluation is likely to </w:t>
            </w:r>
            <w:r>
              <w:t xml:space="preserve">take some time to achieve, since it requires both top down and </w:t>
            </w:r>
            <w:proofErr w:type="gramStart"/>
            <w:r>
              <w:t>bottom up</w:t>
            </w:r>
            <w:proofErr w:type="gramEnd"/>
            <w:r>
              <w:t xml:space="preserve"> commitment to the evaluation strategy and effective communication either way. </w:t>
            </w:r>
            <w:r w:rsidR="00EE28F5">
              <w:t xml:space="preserve">Being able to use evidence for decision making on interventions </w:t>
            </w:r>
            <w:r w:rsidR="006573ED">
              <w:t>to inform developments at a</w:t>
            </w:r>
            <w:r w:rsidR="00EE28F5">
              <w:t xml:space="preserve"> provider level argues for coherent strategies which pull together monitoring systems, implementation and process evaluation, and outcome and impact evidence tools, </w:t>
            </w:r>
            <w:r w:rsidR="00E36D9E">
              <w:t xml:space="preserve">along </w:t>
            </w:r>
            <w:r w:rsidR="00EE28F5">
              <w:t>with tracking/data systems</w:t>
            </w:r>
            <w:r w:rsidR="00E36D9E">
              <w:t xml:space="preserve"> and methods which triangulate </w:t>
            </w:r>
            <w:r w:rsidR="001275B6">
              <w:t>different types of evidence</w:t>
            </w:r>
            <w:r w:rsidR="00EE28F5">
              <w:t>.</w:t>
            </w:r>
          </w:p>
        </w:tc>
      </w:tr>
    </w:tbl>
    <w:p w14:paraId="4743CED3" w14:textId="77777777" w:rsidR="0099254E" w:rsidRPr="0099254E" w:rsidRDefault="0099254E" w:rsidP="0099254E">
      <w:pPr>
        <w:pStyle w:val="Gap"/>
        <w:rPr>
          <w:sz w:val="2"/>
          <w:szCs w:val="2"/>
        </w:rPr>
      </w:pPr>
      <w:bookmarkStart w:id="66" w:name="_Toc204556366"/>
      <w:bookmarkStart w:id="67" w:name="_Toc204556577"/>
    </w:p>
    <w:p w14:paraId="4C03F16B" w14:textId="5EE45012" w:rsidR="000833C3" w:rsidRDefault="000833C3" w:rsidP="00B16C10">
      <w:pPr>
        <w:pStyle w:val="Heading2"/>
      </w:pPr>
      <w:bookmarkStart w:id="68" w:name="_Toc205504270"/>
      <w:r>
        <w:t>Concern for student involvement</w:t>
      </w:r>
      <w:bookmarkEnd w:id="66"/>
      <w:bookmarkEnd w:id="67"/>
      <w:bookmarkEnd w:id="68"/>
      <w:r>
        <w:t xml:space="preserve"> </w:t>
      </w:r>
    </w:p>
    <w:p w14:paraId="27D52CA8" w14:textId="19603026" w:rsidR="000833C3" w:rsidRDefault="000833C3" w:rsidP="000833C3">
      <w:r>
        <w:t>A focus in English HE on the student experience and student involvement is perhaps changing the way evidence is viewed: participants in this research for example indicated that evaluation which surfaces the student voice is perhaps the type of evidence which decision makers pay most attention to. There is also interest in co-creation aspects and more holistic approaches to understanding the lived experience as part of the evaluation effort. This issue has implications for the standards framework that is applied across all APP interventions</w:t>
      </w:r>
      <w:r w:rsidR="009B1727">
        <w:t>. For example, e</w:t>
      </w:r>
      <w:r>
        <w:t xml:space="preserve">xperimental approaches seek to control for the individual effects, whereas </w:t>
      </w:r>
      <w:r w:rsidR="00316BC3">
        <w:t>there is</w:t>
      </w:r>
      <w:r>
        <w:t xml:space="preserve"> increasing concern to treat everyone as an individual. </w:t>
      </w:r>
    </w:p>
    <w:p w14:paraId="381F014C" w14:textId="5BCE5FCE" w:rsidR="000833C3" w:rsidRPr="00D41282" w:rsidRDefault="000833C3" w:rsidP="000833C3">
      <w:pPr>
        <w:ind w:left="567"/>
        <w:rPr>
          <w:i/>
          <w:iCs/>
        </w:rPr>
      </w:pPr>
      <w:r w:rsidRPr="00D41282">
        <w:rPr>
          <w:i/>
          <w:iCs/>
        </w:rPr>
        <w:t xml:space="preserve">Why did they participate – everyone </w:t>
      </w:r>
      <w:r>
        <w:rPr>
          <w:i/>
          <w:iCs/>
        </w:rPr>
        <w:t xml:space="preserve">is </w:t>
      </w:r>
      <w:r w:rsidRPr="00D41282">
        <w:rPr>
          <w:i/>
          <w:iCs/>
        </w:rPr>
        <w:t xml:space="preserve">a complex individual with lots of intersectional characteristics, </w:t>
      </w:r>
      <w:r>
        <w:rPr>
          <w:i/>
          <w:iCs/>
        </w:rPr>
        <w:t xml:space="preserve">you </w:t>
      </w:r>
      <w:r w:rsidRPr="00D41282">
        <w:rPr>
          <w:i/>
          <w:iCs/>
        </w:rPr>
        <w:t xml:space="preserve">can’t ignore all of that. Most institutions can’t do that type of scientific trial – </w:t>
      </w:r>
      <w:r>
        <w:rPr>
          <w:i/>
          <w:iCs/>
        </w:rPr>
        <w:t xml:space="preserve">it’s </w:t>
      </w:r>
      <w:r w:rsidRPr="00D41282">
        <w:rPr>
          <w:i/>
          <w:iCs/>
        </w:rPr>
        <w:t xml:space="preserve">their </w:t>
      </w:r>
      <w:r w:rsidRPr="00516661">
        <w:t>[the participants’]</w:t>
      </w:r>
      <w:r>
        <w:rPr>
          <w:i/>
          <w:iCs/>
        </w:rPr>
        <w:t xml:space="preserve"> </w:t>
      </w:r>
      <w:r w:rsidRPr="00D41282">
        <w:rPr>
          <w:i/>
          <w:iCs/>
        </w:rPr>
        <w:t xml:space="preserve">one shot. Give everybody everything that can help them. We work on layers of evidence and more holistic approaches. </w:t>
      </w:r>
    </w:p>
    <w:p w14:paraId="18819967" w14:textId="129C84CF" w:rsidR="000833C3" w:rsidRDefault="00602247" w:rsidP="000833C3">
      <w:pPr>
        <w:ind w:left="567"/>
        <w:rPr>
          <w:i/>
          <w:iCs/>
        </w:rPr>
      </w:pPr>
      <w:r>
        <w:rPr>
          <w:i/>
          <w:iCs/>
        </w:rPr>
        <w:t>Y</w:t>
      </w:r>
      <w:r w:rsidR="000833C3" w:rsidRPr="004B603C">
        <w:rPr>
          <w:i/>
          <w:iCs/>
        </w:rPr>
        <w:t xml:space="preserve">ou need to know who got the intervention. We tailor to the programme needs, rather than what problem we think should exist. There’s no point doing good work is it’s not fit for purpose. </w:t>
      </w:r>
    </w:p>
    <w:p w14:paraId="3EE6C143" w14:textId="0F2499A6" w:rsidR="000833C3" w:rsidRPr="00663D63" w:rsidRDefault="000833C3" w:rsidP="000833C3">
      <w:r>
        <w:t>Practitioners and those making decisions on interventions are perhaps less incline</w:t>
      </w:r>
      <w:r w:rsidR="00EF5AC6">
        <w:t>d</w:t>
      </w:r>
      <w:r>
        <w:t xml:space="preserve"> to fix the outcomes in advance, and keen</w:t>
      </w:r>
      <w:r w:rsidR="00EF5AC6">
        <w:t>er</w:t>
      </w:r>
      <w:r>
        <w:t xml:space="preserve"> to capture the needs, benefits and experienced a</w:t>
      </w:r>
      <w:r w:rsidR="00EF5AC6">
        <w:t>s</w:t>
      </w:r>
      <w:r>
        <w:t xml:space="preserve"> perceived by those taking part in interventions, including through more participatory forms of impact evaluation. </w:t>
      </w:r>
    </w:p>
    <w:p w14:paraId="49104D68" w14:textId="06227F19" w:rsidR="00E24035" w:rsidRDefault="000833C3" w:rsidP="000833C3">
      <w:pPr>
        <w:ind w:left="567"/>
        <w:rPr>
          <w:i/>
          <w:iCs/>
        </w:rPr>
      </w:pPr>
      <w:r w:rsidRPr="00526B9B">
        <w:rPr>
          <w:i/>
          <w:iCs/>
        </w:rPr>
        <w:lastRenderedPageBreak/>
        <w:t xml:space="preserve">From an ethical social justice side – they want us to work with students. </w:t>
      </w:r>
      <w:proofErr w:type="gramStart"/>
      <w:r w:rsidRPr="00526B9B">
        <w:rPr>
          <w:i/>
          <w:iCs/>
        </w:rPr>
        <w:t>So</w:t>
      </w:r>
      <w:proofErr w:type="gramEnd"/>
      <w:r w:rsidRPr="00526B9B">
        <w:rPr>
          <w:i/>
          <w:iCs/>
        </w:rPr>
        <w:t xml:space="preserve"> we need outcomes harvesting - not just to do and learn – and the opportunity to reflect. Experimentation is out. That’s not just epistemic, </w:t>
      </w:r>
      <w:r>
        <w:rPr>
          <w:i/>
          <w:iCs/>
        </w:rPr>
        <w:t xml:space="preserve">it’s </w:t>
      </w:r>
      <w:r w:rsidRPr="00526B9B">
        <w:rPr>
          <w:i/>
          <w:iCs/>
        </w:rPr>
        <w:t xml:space="preserve">about having a reflective space and </w:t>
      </w:r>
      <w:r w:rsidR="00A7576E" w:rsidRPr="00526B9B">
        <w:rPr>
          <w:i/>
          <w:iCs/>
        </w:rPr>
        <w:t>timeframe</w:t>
      </w:r>
      <w:r>
        <w:rPr>
          <w:i/>
          <w:iCs/>
        </w:rPr>
        <w:t xml:space="preserve">. </w:t>
      </w:r>
    </w:p>
    <w:p w14:paraId="3590EDB3" w14:textId="22A042EF" w:rsidR="000833C3" w:rsidRPr="004B603C" w:rsidRDefault="000833C3" w:rsidP="000833C3">
      <w:pPr>
        <w:ind w:left="567"/>
        <w:rPr>
          <w:i/>
          <w:iCs/>
        </w:rPr>
      </w:pPr>
      <w:proofErr w:type="gramStart"/>
      <w:r w:rsidRPr="00526B9B">
        <w:rPr>
          <w:i/>
          <w:iCs/>
        </w:rPr>
        <w:t>Interestingly enough a</w:t>
      </w:r>
      <w:proofErr w:type="gramEnd"/>
      <w:r w:rsidRPr="00526B9B">
        <w:rPr>
          <w:i/>
          <w:iCs/>
        </w:rPr>
        <w:t xml:space="preserve"> distinction that </w:t>
      </w:r>
      <w:r w:rsidRPr="000A1321">
        <w:t>[</w:t>
      </w:r>
      <w:r w:rsidRPr="00E24035">
        <w:t xml:space="preserve">the standards] </w:t>
      </w:r>
      <w:r w:rsidRPr="00526B9B">
        <w:rPr>
          <w:i/>
          <w:iCs/>
        </w:rPr>
        <w:t>neatly miss on</w:t>
      </w:r>
      <w:r w:rsidR="004B5915">
        <w:rPr>
          <w:i/>
          <w:iCs/>
        </w:rPr>
        <w:t xml:space="preserve"> is whether we’re</w:t>
      </w:r>
      <w:r w:rsidRPr="00526B9B">
        <w:rPr>
          <w:i/>
          <w:iCs/>
        </w:rPr>
        <w:t xml:space="preserve"> addressing the right problem. We support collaborations with students - invited spaces – </w:t>
      </w:r>
      <w:r w:rsidR="006A5798">
        <w:rPr>
          <w:i/>
          <w:iCs/>
        </w:rPr>
        <w:t xml:space="preserve">because we </w:t>
      </w:r>
      <w:r w:rsidRPr="00526B9B">
        <w:rPr>
          <w:i/>
          <w:iCs/>
        </w:rPr>
        <w:t xml:space="preserve">want to be as critical as can be. What are their challenges? </w:t>
      </w:r>
      <w:proofErr w:type="gramStart"/>
      <w:r w:rsidRPr="00526B9B">
        <w:rPr>
          <w:i/>
          <w:iCs/>
        </w:rPr>
        <w:t>Double-loop</w:t>
      </w:r>
      <w:proofErr w:type="gramEnd"/>
      <w:r w:rsidRPr="00526B9B">
        <w:rPr>
          <w:i/>
          <w:iCs/>
        </w:rPr>
        <w:t xml:space="preserve"> learning challeng</w:t>
      </w:r>
      <w:r w:rsidR="00F5330E">
        <w:rPr>
          <w:i/>
          <w:iCs/>
        </w:rPr>
        <w:t>es</w:t>
      </w:r>
      <w:r w:rsidRPr="00526B9B">
        <w:rPr>
          <w:i/>
          <w:iCs/>
        </w:rPr>
        <w:t xml:space="preserve"> values. </w:t>
      </w:r>
    </w:p>
    <w:p w14:paraId="13FBB503" w14:textId="185C2D4A" w:rsidR="000833C3" w:rsidRPr="004B603C" w:rsidRDefault="000833C3" w:rsidP="000833C3">
      <w:pPr>
        <w:ind w:left="567"/>
        <w:rPr>
          <w:i/>
          <w:iCs/>
        </w:rPr>
      </w:pPr>
      <w:r w:rsidRPr="004B603C">
        <w:rPr>
          <w:i/>
          <w:iCs/>
        </w:rPr>
        <w:t>We are balancing the need for giving as much power to students and meeting organisational needs</w:t>
      </w:r>
      <w:r w:rsidR="00217E5D">
        <w:rPr>
          <w:i/>
          <w:iCs/>
        </w:rPr>
        <w:t xml:space="preserve">. </w:t>
      </w:r>
    </w:p>
    <w:p w14:paraId="3A5BE46B" w14:textId="4DDABD89" w:rsidR="000833C3" w:rsidRDefault="000833C3" w:rsidP="000833C3">
      <w:pPr>
        <w:ind w:left="567"/>
        <w:rPr>
          <w:i/>
          <w:iCs/>
        </w:rPr>
      </w:pPr>
      <w:r w:rsidRPr="00C21A68">
        <w:rPr>
          <w:i/>
          <w:iCs/>
        </w:rPr>
        <w:t>People’s voices are important, stories are important</w:t>
      </w:r>
      <w:r w:rsidR="00B776EC">
        <w:rPr>
          <w:i/>
          <w:iCs/>
        </w:rPr>
        <w:t xml:space="preserve"> -</w:t>
      </w:r>
      <w:r w:rsidRPr="00C21A68">
        <w:rPr>
          <w:i/>
          <w:iCs/>
        </w:rPr>
        <w:t xml:space="preserve"> fundamental to what we’re trying to do</w:t>
      </w:r>
      <w:r w:rsidR="0056739C">
        <w:rPr>
          <w:i/>
          <w:iCs/>
        </w:rPr>
        <w:t>. What’s</w:t>
      </w:r>
      <w:r w:rsidRPr="00C21A68">
        <w:rPr>
          <w:i/>
          <w:iCs/>
        </w:rPr>
        <w:t xml:space="preserve"> the impact and benefits </w:t>
      </w:r>
      <w:r w:rsidR="0056739C">
        <w:rPr>
          <w:i/>
          <w:iCs/>
        </w:rPr>
        <w:t>of</w:t>
      </w:r>
      <w:r w:rsidRPr="00C21A68">
        <w:rPr>
          <w:i/>
          <w:iCs/>
        </w:rPr>
        <w:t xml:space="preserve"> initiatives for our students</w:t>
      </w:r>
      <w:r w:rsidR="0056739C">
        <w:rPr>
          <w:i/>
          <w:iCs/>
        </w:rPr>
        <w:t xml:space="preserve">? </w:t>
      </w:r>
      <w:r w:rsidRPr="00C21A68">
        <w:rPr>
          <w:i/>
          <w:iCs/>
        </w:rPr>
        <w:t xml:space="preserve"> </w:t>
      </w:r>
    </w:p>
    <w:p w14:paraId="7256BCC7" w14:textId="1AD8DFF5" w:rsidR="000833C3" w:rsidRDefault="00AF3CFB" w:rsidP="000833C3">
      <w:r>
        <w:t>M</w:t>
      </w:r>
      <w:r w:rsidR="000833C3">
        <w:t xml:space="preserve">easures of student experience and related concepts (such as student engagement, sense of belonging) have come in scope as intermediate outcome measures (also influenced by </w:t>
      </w:r>
      <w:r>
        <w:t xml:space="preserve">a </w:t>
      </w:r>
      <w:r w:rsidR="000833C3">
        <w:t xml:space="preserve">focus on causal mechanisms as well as outcomes). </w:t>
      </w:r>
      <w:r w:rsidR="00FF7EC2">
        <w:t>C</w:t>
      </w:r>
      <w:r w:rsidR="000833C3">
        <w:t xml:space="preserve">ross-institutional tools (such as </w:t>
      </w:r>
      <w:r w:rsidR="00B869A2">
        <w:t xml:space="preserve">student </w:t>
      </w:r>
      <w:r w:rsidR="000833C3">
        <w:t xml:space="preserve">surveys) which collect data from a wide group of people </w:t>
      </w:r>
      <w:r w:rsidR="00B869A2">
        <w:t>thereby set up</w:t>
      </w:r>
      <w:r w:rsidR="000833C3">
        <w:t xml:space="preserve"> the opportunity for comparative and correlational evaluation work, and the possibility of quasi-experimental designs. </w:t>
      </w:r>
      <w:r w:rsidR="00B34021">
        <w:t>However,</w:t>
      </w:r>
      <w:r w:rsidR="000833C3">
        <w:t xml:space="preserve"> not everyone is sold on this type of approach: </w:t>
      </w:r>
    </w:p>
    <w:p w14:paraId="04950B51" w14:textId="436A96CB" w:rsidR="000833C3" w:rsidRDefault="000833C3" w:rsidP="000833C3">
      <w:pPr>
        <w:ind w:left="567"/>
        <w:rPr>
          <w:i/>
          <w:iCs/>
        </w:rPr>
      </w:pPr>
      <w:r w:rsidRPr="00C21A68">
        <w:rPr>
          <w:i/>
          <w:iCs/>
        </w:rPr>
        <w:t xml:space="preserve">It’s about students’ experience in this setting and them getting the most out of what we provide. </w:t>
      </w:r>
      <w:r w:rsidR="00DB1A16">
        <w:rPr>
          <w:i/>
          <w:iCs/>
        </w:rPr>
        <w:t>At the c</w:t>
      </w:r>
      <w:r w:rsidRPr="00C21A68">
        <w:rPr>
          <w:i/>
          <w:iCs/>
        </w:rPr>
        <w:t xml:space="preserve">entre is the student who studies with us and how they experience everything. </w:t>
      </w:r>
      <w:r w:rsidR="00CC4B72">
        <w:rPr>
          <w:i/>
          <w:iCs/>
        </w:rPr>
        <w:t xml:space="preserve">You </w:t>
      </w:r>
      <w:proofErr w:type="gramStart"/>
      <w:r w:rsidR="00CC4B72">
        <w:rPr>
          <w:i/>
          <w:iCs/>
        </w:rPr>
        <w:t>h</w:t>
      </w:r>
      <w:r w:rsidRPr="00C21A68">
        <w:rPr>
          <w:i/>
          <w:iCs/>
        </w:rPr>
        <w:t>ave to</w:t>
      </w:r>
      <w:proofErr w:type="gramEnd"/>
      <w:r w:rsidRPr="00C21A68">
        <w:rPr>
          <w:i/>
          <w:iCs/>
        </w:rPr>
        <w:t xml:space="preserve"> care about the students not the data. They’re not just data, they are people, </w:t>
      </w:r>
      <w:r w:rsidR="00DF7828">
        <w:rPr>
          <w:i/>
          <w:iCs/>
        </w:rPr>
        <w:t xml:space="preserve">they’re </w:t>
      </w:r>
      <w:r w:rsidRPr="00C21A68">
        <w:rPr>
          <w:i/>
          <w:iCs/>
        </w:rPr>
        <w:t xml:space="preserve">not doing it </w:t>
      </w:r>
      <w:r w:rsidR="00DF7828">
        <w:t>[</w:t>
      </w:r>
      <w:r w:rsidR="00D11481">
        <w:t>higher education</w:t>
      </w:r>
      <w:r w:rsidR="00DF7828">
        <w:t xml:space="preserve">] </w:t>
      </w:r>
      <w:r w:rsidRPr="00C21A68">
        <w:rPr>
          <w:i/>
          <w:iCs/>
        </w:rPr>
        <w:t xml:space="preserve">for the sake of it: </w:t>
      </w:r>
      <w:r w:rsidR="003F39CE">
        <w:rPr>
          <w:i/>
          <w:iCs/>
        </w:rPr>
        <w:t xml:space="preserve">we </w:t>
      </w:r>
      <w:r w:rsidRPr="00C21A68">
        <w:rPr>
          <w:i/>
          <w:iCs/>
        </w:rPr>
        <w:t xml:space="preserve">need to understand what </w:t>
      </w:r>
      <w:proofErr w:type="gramStart"/>
      <w:r w:rsidRPr="00C21A68">
        <w:rPr>
          <w:i/>
          <w:iCs/>
        </w:rPr>
        <w:t xml:space="preserve">is </w:t>
      </w:r>
      <w:r>
        <w:rPr>
          <w:i/>
          <w:iCs/>
        </w:rPr>
        <w:t>the</w:t>
      </w:r>
      <w:r w:rsidR="00D11481">
        <w:rPr>
          <w:i/>
          <w:iCs/>
        </w:rPr>
        <w:t>ir</w:t>
      </w:r>
      <w:r>
        <w:rPr>
          <w:i/>
          <w:iCs/>
        </w:rPr>
        <w:t xml:space="preserve"> </w:t>
      </w:r>
      <w:r w:rsidRPr="00C21A68">
        <w:rPr>
          <w:i/>
          <w:iCs/>
        </w:rPr>
        <w:t>capacity</w:t>
      </w:r>
      <w:proofErr w:type="gramEnd"/>
      <w:r w:rsidRPr="00C21A68">
        <w:rPr>
          <w:i/>
          <w:iCs/>
        </w:rPr>
        <w:t xml:space="preserve"> to achieve. </w:t>
      </w:r>
    </w:p>
    <w:tbl>
      <w:tblPr>
        <w:tblStyle w:val="TableGrid"/>
        <w:tblW w:w="0" w:type="auto"/>
        <w:tblLook w:val="04A0" w:firstRow="1" w:lastRow="0" w:firstColumn="1" w:lastColumn="0" w:noHBand="0" w:noVBand="1"/>
      </w:tblPr>
      <w:tblGrid>
        <w:gridCol w:w="9638"/>
      </w:tblGrid>
      <w:tr w:rsidR="0092697D" w:rsidRPr="009D2BA7" w14:paraId="5144570D" w14:textId="77777777" w:rsidTr="00AB4665">
        <w:tc>
          <w:tcPr>
            <w:tcW w:w="9638" w:type="dxa"/>
          </w:tcPr>
          <w:p w14:paraId="5AB3E729" w14:textId="3D331C06" w:rsidR="009D2BA7" w:rsidRPr="009D2BA7" w:rsidRDefault="009D2BA7" w:rsidP="0092697D">
            <w:pPr>
              <w:rPr>
                <w:b/>
                <w:bCs/>
              </w:rPr>
            </w:pPr>
            <w:r w:rsidRPr="009D2BA7">
              <w:rPr>
                <w:b/>
                <w:bCs/>
              </w:rPr>
              <w:t xml:space="preserve">Challenge </w:t>
            </w:r>
            <w:r w:rsidR="00D879C9">
              <w:rPr>
                <w:b/>
                <w:bCs/>
              </w:rPr>
              <w:t>7</w:t>
            </w:r>
            <w:r w:rsidRPr="009D2BA7">
              <w:rPr>
                <w:b/>
                <w:bCs/>
              </w:rPr>
              <w:t>: Student involvement in impact evaluation</w:t>
            </w:r>
          </w:p>
          <w:p w14:paraId="4A5F9E2F" w14:textId="7F02E96A" w:rsidR="0092697D" w:rsidRPr="009D2BA7" w:rsidRDefault="00985F73" w:rsidP="00AC3492">
            <w:pPr>
              <w:pStyle w:val="AHESubheadingstyle4"/>
            </w:pPr>
            <w:r>
              <w:t>R</w:t>
            </w:r>
            <w:r w:rsidR="0092697D" w:rsidRPr="009D2BA7">
              <w:t xml:space="preserve">esearchers and practitioners acknowledge the importance of student engagement in </w:t>
            </w:r>
            <w:r w:rsidR="000602DE">
              <w:t>evaluation</w:t>
            </w:r>
            <w:r w:rsidR="008861FD">
              <w:t xml:space="preserve"> </w:t>
            </w:r>
            <w:r w:rsidR="000602DE">
              <w:t xml:space="preserve">and are seeking new methodologies for this (although overall </w:t>
            </w:r>
            <w:r w:rsidR="0092697D" w:rsidRPr="009D2BA7">
              <w:t xml:space="preserve">evaluation processes requiring student </w:t>
            </w:r>
            <w:r w:rsidR="000602DE">
              <w:t>involvement</w:t>
            </w:r>
            <w:r w:rsidR="0092697D" w:rsidRPr="009D2BA7">
              <w:t xml:space="preserve"> </w:t>
            </w:r>
            <w:r w:rsidR="00DE0514">
              <w:t xml:space="preserve">in quantitative studies tend to </w:t>
            </w:r>
            <w:r w:rsidR="0092697D" w:rsidRPr="009D2BA7">
              <w:t>remain predominantly designed and controlled by staff</w:t>
            </w:r>
            <w:r w:rsidR="00D85D20">
              <w:t xml:space="preserve"> (e.g. surveys)</w:t>
            </w:r>
            <w:r w:rsidR="00DE0514">
              <w:t>)</w:t>
            </w:r>
            <w:r w:rsidR="00D85D20">
              <w:t xml:space="preserve">. Participatory and co-creation approaches </w:t>
            </w:r>
            <w:r w:rsidR="008E4BE8">
              <w:t>are important to bring in new perspectives</w:t>
            </w:r>
            <w:r w:rsidR="00D85D20">
              <w:t xml:space="preserve">, but this </w:t>
            </w:r>
            <w:r w:rsidR="00DE0514">
              <w:t>kind</w:t>
            </w:r>
            <w:r w:rsidR="00D85D20">
              <w:t xml:space="preserve"> of research tends to be </w:t>
            </w:r>
            <w:proofErr w:type="gramStart"/>
            <w:r w:rsidR="00D85D20">
              <w:t>explo</w:t>
            </w:r>
            <w:r w:rsidR="00BF4ECE">
              <w:t>ratory</w:t>
            </w:r>
            <w:proofErr w:type="gramEnd"/>
            <w:r w:rsidR="00BF4ECE">
              <w:t xml:space="preserve"> and it is not clear how such methods </w:t>
            </w:r>
            <w:r w:rsidR="008E4BE8">
              <w:t xml:space="preserve">support </w:t>
            </w:r>
            <w:r w:rsidR="00BF4ECE">
              <w:t>impact evaluation. T</w:t>
            </w:r>
            <w:r w:rsidR="0092697D" w:rsidRPr="009D2BA7">
              <w:t xml:space="preserve">here are </w:t>
            </w:r>
            <w:r w:rsidR="00BF4ECE">
              <w:t xml:space="preserve">potentially </w:t>
            </w:r>
            <w:r w:rsidR="0092697D" w:rsidRPr="009D2BA7">
              <w:t xml:space="preserve">many benefits of engaging students </w:t>
            </w:r>
            <w:r w:rsidR="00D8762A">
              <w:t xml:space="preserve">in evaluation - </w:t>
            </w:r>
            <w:r w:rsidR="00DB3845">
              <w:t>including perspectives on</w:t>
            </w:r>
            <w:r w:rsidR="0092697D" w:rsidRPr="009D2BA7">
              <w:t xml:space="preserve"> </w:t>
            </w:r>
            <w:r w:rsidR="00872788">
              <w:t>what</w:t>
            </w:r>
            <w:r w:rsidR="0092697D" w:rsidRPr="009D2BA7">
              <w:t xml:space="preserve"> </w:t>
            </w:r>
            <w:r w:rsidR="00DB3845">
              <w:t>impact</w:t>
            </w:r>
            <w:r w:rsidR="0092697D" w:rsidRPr="009D2BA7">
              <w:t xml:space="preserve"> is</w:t>
            </w:r>
            <w:r w:rsidR="00872788">
              <w:t xml:space="preserve">. </w:t>
            </w:r>
            <w:r w:rsidR="0092697D" w:rsidRPr="009D2BA7">
              <w:t xml:space="preserve">Collaboration in evaluation </w:t>
            </w:r>
            <w:proofErr w:type="gramStart"/>
            <w:r w:rsidR="00D041C2">
              <w:t>opens up</w:t>
            </w:r>
            <w:proofErr w:type="gramEnd"/>
            <w:r w:rsidR="00D041C2">
              <w:t xml:space="preserve"> </w:t>
            </w:r>
            <w:r w:rsidR="0092697D" w:rsidRPr="009D2BA7">
              <w:t xml:space="preserve">dialogue </w:t>
            </w:r>
            <w:r w:rsidR="00D92AEB">
              <w:t xml:space="preserve">on the kinds of outcomes and impacts that are more </w:t>
            </w:r>
            <w:r w:rsidR="00FF65A5">
              <w:t>relevant to student themselves</w:t>
            </w:r>
            <w:r w:rsidR="00556326">
              <w:t xml:space="preserve">. </w:t>
            </w:r>
            <w:r w:rsidR="0010793D">
              <w:t>There is a sense that</w:t>
            </w:r>
            <w:r w:rsidR="00A3385F">
              <w:t xml:space="preserve"> evaluation</w:t>
            </w:r>
            <w:r w:rsidR="0092697D" w:rsidRPr="009D2BA7">
              <w:t xml:space="preserve"> practices can be augmented or redesigned to enhance student engagement</w:t>
            </w:r>
            <w:r w:rsidR="00A3385F">
              <w:t xml:space="preserve">, but this </w:t>
            </w:r>
            <w:r w:rsidR="00556326">
              <w:t xml:space="preserve">an </w:t>
            </w:r>
            <w:r w:rsidR="00A3385F">
              <w:t>underdeveloped a</w:t>
            </w:r>
            <w:r w:rsidR="00556326">
              <w:t xml:space="preserve">rea which is likely to have implications for APP evaluation and </w:t>
            </w:r>
            <w:r w:rsidR="00A3385F">
              <w:t>evidence</w:t>
            </w:r>
            <w:r w:rsidR="0092697D" w:rsidRPr="009D2BA7">
              <w:t>.</w:t>
            </w:r>
          </w:p>
        </w:tc>
      </w:tr>
    </w:tbl>
    <w:p w14:paraId="205840AB" w14:textId="448577B7" w:rsidR="00474E64" w:rsidRDefault="00474E64" w:rsidP="00AE610F">
      <w:pPr>
        <w:pStyle w:val="Heading2"/>
      </w:pPr>
      <w:bookmarkStart w:id="69" w:name="_Toc205504271"/>
      <w:r>
        <w:t>Discussion</w:t>
      </w:r>
      <w:bookmarkEnd w:id="69"/>
    </w:p>
    <w:p w14:paraId="166C0B51" w14:textId="7871B612" w:rsidR="00CA6133" w:rsidRDefault="00CA6133" w:rsidP="005020C4">
      <w:r>
        <w:t xml:space="preserve">Impact evaluation in higher education </w:t>
      </w:r>
      <w:r w:rsidR="00D7353A">
        <w:t>has</w:t>
      </w:r>
      <w:r>
        <w:t xml:space="preserve"> </w:t>
      </w:r>
      <w:r w:rsidRPr="00D54620">
        <w:t xml:space="preserve">a dynamic </w:t>
      </w:r>
      <w:r>
        <w:t xml:space="preserve">perspective </w:t>
      </w:r>
      <w:r w:rsidR="00C77062">
        <w:t xml:space="preserve">because </w:t>
      </w:r>
      <w:r>
        <w:t>higher education providers a</w:t>
      </w:r>
      <w:r w:rsidR="00C77062">
        <w:t>re</w:t>
      </w:r>
      <w:r>
        <w:t xml:space="preserve"> </w:t>
      </w:r>
      <w:r w:rsidRPr="00D54620">
        <w:t>complex and adaptive,</w:t>
      </w:r>
      <w:r>
        <w:t xml:space="preserve"> which puts t</w:t>
      </w:r>
      <w:r w:rsidR="00C23C46">
        <w:t>he</w:t>
      </w:r>
      <w:r>
        <w:t xml:space="preserve"> focus on c</w:t>
      </w:r>
      <w:r w:rsidRPr="003B1445">
        <w:t xml:space="preserve">ontextualised understanding of how </w:t>
      </w:r>
      <w:r w:rsidR="00C73A8C">
        <w:t xml:space="preserve">and why </w:t>
      </w:r>
      <w:r w:rsidRPr="003B1445">
        <w:t xml:space="preserve">an intervention </w:t>
      </w:r>
      <w:r w:rsidR="00C73A8C">
        <w:t xml:space="preserve">generates </w:t>
      </w:r>
      <w:r w:rsidRPr="003B1445">
        <w:t>change</w:t>
      </w:r>
      <w:r>
        <w:t xml:space="preserve"> and </w:t>
      </w:r>
      <w:r w:rsidRPr="003B1445">
        <w:t xml:space="preserve">the enablers and constraints on its delivery </w:t>
      </w:r>
      <w:r w:rsidR="008B6928">
        <w:t xml:space="preserve">in each </w:t>
      </w:r>
      <w:r w:rsidRPr="003B1445">
        <w:t>setting</w:t>
      </w:r>
      <w:r w:rsidRPr="00D54620">
        <w:t>.</w:t>
      </w:r>
      <w:r w:rsidRPr="00947F2D">
        <w:t xml:space="preserve"> </w:t>
      </w:r>
      <w:r w:rsidR="008B6928">
        <w:t>Therefore,</w:t>
      </w:r>
      <w:r>
        <w:t xml:space="preserve"> </w:t>
      </w:r>
      <w:r w:rsidR="003C1531">
        <w:t xml:space="preserve">intermediate </w:t>
      </w:r>
      <w:r>
        <w:t>o</w:t>
      </w:r>
      <w:r w:rsidRPr="00947F2D">
        <w:t xml:space="preserve">utcome measures capture changes </w:t>
      </w:r>
      <w:r>
        <w:t>in the</w:t>
      </w:r>
      <w:r w:rsidRPr="00947F2D">
        <w:t xml:space="preserve"> system </w:t>
      </w:r>
      <w:r>
        <w:t xml:space="preserve">as well as for </w:t>
      </w:r>
      <w:r w:rsidRPr="00947F2D">
        <w:t>individuals</w:t>
      </w:r>
      <w:r w:rsidR="005C1674">
        <w:t>/student groups</w:t>
      </w:r>
      <w:r w:rsidR="003C1531">
        <w:t xml:space="preserve"> </w:t>
      </w:r>
      <w:r>
        <w:t xml:space="preserve">(e.g. </w:t>
      </w:r>
      <w:r w:rsidRPr="00947F2D">
        <w:t xml:space="preserve">changes in relationships </w:t>
      </w:r>
      <w:r>
        <w:t xml:space="preserve">internally, </w:t>
      </w:r>
      <w:r w:rsidRPr="00947F2D">
        <w:t>normalisation of practice</w:t>
      </w:r>
      <w:r w:rsidR="003C1531">
        <w:t>s</w:t>
      </w:r>
      <w:r>
        <w:t xml:space="preserve"> etc)</w:t>
      </w:r>
      <w:r w:rsidRPr="00947F2D">
        <w:t xml:space="preserve">. </w:t>
      </w:r>
      <w:r w:rsidR="00380818">
        <w:t>The a</w:t>
      </w:r>
      <w:r>
        <w:t xml:space="preserve">pproaches </w:t>
      </w:r>
      <w:r w:rsidR="00380818">
        <w:t>need to be</w:t>
      </w:r>
      <w:r>
        <w:t xml:space="preserve"> flexible </w:t>
      </w:r>
      <w:r w:rsidR="00380818">
        <w:t xml:space="preserve">enough </w:t>
      </w:r>
      <w:r>
        <w:t>to allow providers to</w:t>
      </w:r>
      <w:r w:rsidRPr="001434A7">
        <w:t xml:space="preserve"> prioritis</w:t>
      </w:r>
      <w:r>
        <w:t>e</w:t>
      </w:r>
      <w:r w:rsidR="000F7728">
        <w:t xml:space="preserve">, use </w:t>
      </w:r>
      <w:r w:rsidRPr="001434A7">
        <w:t xml:space="preserve">information for decision making </w:t>
      </w:r>
      <w:r>
        <w:t xml:space="preserve">and </w:t>
      </w:r>
      <w:r w:rsidR="000F7728">
        <w:t>select an</w:t>
      </w:r>
      <w:r>
        <w:t xml:space="preserve"> </w:t>
      </w:r>
      <w:r w:rsidRPr="001434A7">
        <w:t xml:space="preserve">optimal </w:t>
      </w:r>
      <w:r w:rsidR="000F7728">
        <w:t xml:space="preserve">evaluation </w:t>
      </w:r>
      <w:r>
        <w:t xml:space="preserve">approach to answer </w:t>
      </w:r>
      <w:r w:rsidR="00F81580">
        <w:t>their</w:t>
      </w:r>
      <w:r w:rsidR="000F7728">
        <w:t xml:space="preserve"> </w:t>
      </w:r>
      <w:proofErr w:type="gramStart"/>
      <w:r w:rsidR="000F7728">
        <w:t>particular</w:t>
      </w:r>
      <w:r>
        <w:t xml:space="preserve"> impact</w:t>
      </w:r>
      <w:proofErr w:type="gramEnd"/>
      <w:r>
        <w:t xml:space="preserve"> </w:t>
      </w:r>
      <w:r w:rsidRPr="001434A7">
        <w:t>questions.</w:t>
      </w:r>
    </w:p>
    <w:p w14:paraId="25FE8F74" w14:textId="35A7A4B8" w:rsidR="00516002" w:rsidRDefault="007C397E" w:rsidP="005020C4">
      <w:r>
        <w:t>The sector probably needs to give</w:t>
      </w:r>
      <w:r w:rsidR="00516002">
        <w:t xml:space="preserve"> more consideration to evaluating complex interventions. A key finding was the trade-off between precise unbiased answers to narrow questions of impact and more uncertain answers to complex questions. </w:t>
      </w:r>
      <w:r w:rsidR="007A7CCF">
        <w:t>T</w:t>
      </w:r>
      <w:r w:rsidR="00516002">
        <w:t xml:space="preserve">o be most useful to inform decision making in the current higher education climate evaluators might need broader perspective than answering causal questions with greater certainty. The providers in the sample were taking a comprehensive approach to evaluation: where questions about how something is working and the impact that this is having are asked in tandem as the work goes along. Then the </w:t>
      </w:r>
      <w:r w:rsidR="008C65C9">
        <w:t>evidence</w:t>
      </w:r>
      <w:r w:rsidR="00516002">
        <w:t xml:space="preserve"> inform</w:t>
      </w:r>
      <w:r w:rsidR="008C65C9">
        <w:t xml:space="preserve">s </w:t>
      </w:r>
      <w:r w:rsidR="00516002">
        <w:t xml:space="preserve">whether the intervention proceeds to the next phase, returns to a previous phase (i.e. a re-development of the programme theory), repeats, or stops. </w:t>
      </w:r>
    </w:p>
    <w:p w14:paraId="6BDA145A" w14:textId="40BDF6B9" w:rsidR="007D6BC7" w:rsidRDefault="009F3960" w:rsidP="009F3960">
      <w:r>
        <w:t xml:space="preserve">The framework, commissioned by the Medical Research Council </w:t>
      </w:r>
      <w:r w:rsidR="00337A43">
        <w:t xml:space="preserve">(MRC) </w:t>
      </w:r>
      <w:r>
        <w:t>and the National Institute for Health Research</w:t>
      </w:r>
      <w:r w:rsidR="00337A43">
        <w:t xml:space="preserve"> (NIHR)</w:t>
      </w:r>
      <w:r w:rsidR="00AB69BB">
        <w:rPr>
          <w:rStyle w:val="FootnoteReference"/>
        </w:rPr>
        <w:footnoteReference w:id="14"/>
      </w:r>
      <w:r>
        <w:t xml:space="preserve">, may be a useful reference </w:t>
      </w:r>
      <w:r w:rsidR="00D922DE">
        <w:t>point</w:t>
      </w:r>
      <w:r w:rsidR="00F81580">
        <w:t xml:space="preserve"> when thinking about impact evaluation of complex interventions. </w:t>
      </w:r>
      <w:r w:rsidR="00D922DE">
        <w:t xml:space="preserve"> </w:t>
      </w:r>
      <w:r w:rsidR="00F81580">
        <w:t xml:space="preserve">This framework </w:t>
      </w:r>
      <w:r>
        <w:t xml:space="preserve">is designed to support complex intervention evaluation to maximise the </w:t>
      </w:r>
      <w:r>
        <w:lastRenderedPageBreak/>
        <w:t>efficiency, use, and impact of research</w:t>
      </w:r>
      <w:r w:rsidR="00337A43">
        <w:t xml:space="preserve"> in the health sector</w:t>
      </w:r>
      <w:r>
        <w:t xml:space="preserve">. The latest MRC guidance is an update which </w:t>
      </w:r>
      <w:r w:rsidR="005B3464">
        <w:t xml:space="preserve">seeks to </w:t>
      </w:r>
      <w:r>
        <w:t>help researchers work with other stakeholders to identify the key questions about complex interventions, and to design and conduct research with a diversity of perspectives</w:t>
      </w:r>
      <w:r w:rsidR="006E4ED1">
        <w:t xml:space="preserve"> </w:t>
      </w:r>
      <w:r>
        <w:t>as well as an appropriate choice of methods. Th</w:t>
      </w:r>
      <w:r w:rsidR="006E4ED1">
        <w:t>e</w:t>
      </w:r>
      <w:r>
        <w:t xml:space="preserve"> guidance takes a holistic perspective of where impact evaluation sits in terms of asking a broader range of questions to inform </w:t>
      </w:r>
      <w:proofErr w:type="gramStart"/>
      <w:r>
        <w:t>evidence based</w:t>
      </w:r>
      <w:proofErr w:type="gramEnd"/>
      <w:r>
        <w:t xml:space="preserve"> decision making (e.g. identifying outcomes and impacts</w:t>
      </w:r>
      <w:r w:rsidR="004034E4">
        <w:t xml:space="preserve">, </w:t>
      </w:r>
      <w:r>
        <w:t>theorising how things work</w:t>
      </w:r>
      <w:r w:rsidR="004034E4">
        <w:t>,</w:t>
      </w:r>
      <w:r>
        <w:t xml:space="preserve"> </w:t>
      </w:r>
      <w:r w:rsidR="004034E4">
        <w:t>looking at</w:t>
      </w:r>
      <w:r>
        <w:t xml:space="preserve"> how an intervention interacts with the context, </w:t>
      </w:r>
      <w:r w:rsidR="004034E4">
        <w:t xml:space="preserve">the </w:t>
      </w:r>
      <w:r>
        <w:t xml:space="preserve">contribution to systems change, and </w:t>
      </w:r>
      <w:r w:rsidR="003D19AB">
        <w:t xml:space="preserve">the </w:t>
      </w:r>
      <w:r>
        <w:t xml:space="preserve">value for money issues). </w:t>
      </w:r>
      <w:r w:rsidR="0098736A">
        <w:t xml:space="preserve">The </w:t>
      </w:r>
      <w:r w:rsidR="00D54620">
        <w:t xml:space="preserve">MRC </w:t>
      </w:r>
      <w:r w:rsidR="0098736A">
        <w:t>framework recognises the need for evaluation at different levels (from individual to societal levels) and supports making connections between</w:t>
      </w:r>
      <w:r w:rsidR="00125F76">
        <w:t xml:space="preserve"> them</w:t>
      </w:r>
      <w:r w:rsidR="0098736A">
        <w:t xml:space="preserve">. </w:t>
      </w:r>
      <w:r w:rsidR="007B00C2">
        <w:t>Learning from this approach may support</w:t>
      </w:r>
      <w:r w:rsidR="0022006F">
        <w:t xml:space="preserve"> how </w:t>
      </w:r>
      <w:r w:rsidR="00576069">
        <w:t xml:space="preserve">the higher education system thinks about </w:t>
      </w:r>
      <w:r w:rsidR="0022006F">
        <w:t xml:space="preserve">evaluation of </w:t>
      </w:r>
      <w:r w:rsidR="00D54620" w:rsidRPr="00D54620">
        <w:t>complex interventions</w:t>
      </w:r>
      <w:r w:rsidR="0022006F">
        <w:t xml:space="preserve"> </w:t>
      </w:r>
      <w:r w:rsidR="0061279D">
        <w:t xml:space="preserve">– certainly conceptualising higher education providers as complex </w:t>
      </w:r>
      <w:r w:rsidR="00D54620" w:rsidRPr="00D54620">
        <w:t xml:space="preserve">systems </w:t>
      </w:r>
      <w:r w:rsidR="00332808">
        <w:t xml:space="preserve">potentially </w:t>
      </w:r>
      <w:r w:rsidR="00D54620" w:rsidRPr="00D54620">
        <w:t>help</w:t>
      </w:r>
      <w:r w:rsidR="004C21F6">
        <w:t>s</w:t>
      </w:r>
      <w:r w:rsidR="00D54620" w:rsidRPr="00D54620">
        <w:t xml:space="preserve"> understand</w:t>
      </w:r>
      <w:r w:rsidR="00332808">
        <w:t>ing of</w:t>
      </w:r>
      <w:r w:rsidR="00D54620" w:rsidRPr="00D54620">
        <w:t xml:space="preserve"> the interaction between an intervention and the context in which it is implemented</w:t>
      </w:r>
      <w:r w:rsidR="00523478">
        <w:t xml:space="preserve">. </w:t>
      </w:r>
    </w:p>
    <w:p w14:paraId="158BC9DC" w14:textId="30BDC572" w:rsidR="00BD7E9E" w:rsidRDefault="00405618" w:rsidP="00AB4665">
      <w:pPr>
        <w:pStyle w:val="Heading1"/>
      </w:pPr>
      <w:bookmarkStart w:id="70" w:name="_Toc205504272"/>
      <w:r>
        <w:t>IMPACT EVALUATION FOR EXTERNAL KNOWLEDGE GENERATION</w:t>
      </w:r>
      <w:bookmarkEnd w:id="70"/>
    </w:p>
    <w:p w14:paraId="4DAA4248" w14:textId="77777777" w:rsidR="00D711A3" w:rsidRDefault="00B60CEF" w:rsidP="00B60CEF">
      <w:r>
        <w:t xml:space="preserve">A key objective of standards of evidence is to facilitate robust impact evaluation plans, so that quality evidence will be generated. </w:t>
      </w:r>
      <w:r w:rsidR="00F410FC">
        <w:t xml:space="preserve">There is increasing emphasis on bringing together evaluation for accountability with evaluation for sector-wide knowledge generation. </w:t>
      </w:r>
      <w:r>
        <w:t xml:space="preserve">Ultimately, by sharing findings about what is expected to work in what circumstances with whom, what is proven to work and what does not work, the use of standards </w:t>
      </w:r>
      <w:proofErr w:type="gramStart"/>
      <w:r>
        <w:t>were</w:t>
      </w:r>
      <w:proofErr w:type="gramEnd"/>
      <w:r>
        <w:t xml:space="preserve"> designed to help to ensure that access and participation activities and funds are directed to the most effective activities.</w:t>
      </w:r>
      <w:r w:rsidR="001A76E5">
        <w:t xml:space="preserve"> </w:t>
      </w:r>
    </w:p>
    <w:p w14:paraId="31FC44BF" w14:textId="14686601" w:rsidR="009139A5" w:rsidRPr="00B60CEF" w:rsidRDefault="001A76E5" w:rsidP="00B60CEF">
      <w:r>
        <w:t xml:space="preserve">The APPs commit providers to publishing their evaluations. </w:t>
      </w:r>
      <w:r w:rsidR="00D711A3">
        <w:t>T</w:t>
      </w:r>
      <w:r>
        <w:t xml:space="preserve">he launch of the Higher Education Evidence Library (HEEL) will further support evaluation evidence generation and sharing by building up a central repository. </w:t>
      </w:r>
      <w:r w:rsidR="00F410FC">
        <w:t>Thinking forward, there are</w:t>
      </w:r>
      <w:r w:rsidR="00F410FC" w:rsidRPr="00FE1B86">
        <w:t xml:space="preserve"> implications for </w:t>
      </w:r>
      <w:r w:rsidR="00F410FC">
        <w:t>how evaluation for external consumption is conceptualised to</w:t>
      </w:r>
      <w:r w:rsidR="00F410FC" w:rsidRPr="00FE1B86">
        <w:t xml:space="preserve"> </w:t>
      </w:r>
      <w:r w:rsidR="00F410FC">
        <w:t xml:space="preserve">support submission to the HEEL, </w:t>
      </w:r>
      <w:r w:rsidR="00F25B10">
        <w:t xml:space="preserve">how </w:t>
      </w:r>
      <w:r w:rsidR="00F410FC">
        <w:t>assessments</w:t>
      </w:r>
      <w:r w:rsidR="00F25B10">
        <w:t>/</w:t>
      </w:r>
      <w:r w:rsidR="00F410FC">
        <w:t xml:space="preserve">judgements </w:t>
      </w:r>
      <w:r w:rsidR="00F25B10">
        <w:t xml:space="preserve">are </w:t>
      </w:r>
      <w:r w:rsidR="00F410FC">
        <w:t xml:space="preserve">made on published evaluation reports, and the types of evidence that are needed to support replication/transferability once impact and effective practices have been identified. </w:t>
      </w:r>
      <w:r w:rsidR="007E22E1">
        <w:t xml:space="preserve"> </w:t>
      </w:r>
      <w:r w:rsidR="00F25B10">
        <w:t xml:space="preserve">This Section discusses perspectives </w:t>
      </w:r>
      <w:r w:rsidR="00407171">
        <w:t xml:space="preserve">in the case providers and </w:t>
      </w:r>
      <w:r w:rsidR="00F25B10">
        <w:t>the implications for evaluation practices.</w:t>
      </w:r>
    </w:p>
    <w:tbl>
      <w:tblPr>
        <w:tblStyle w:val="TableGrid"/>
        <w:tblW w:w="0" w:type="auto"/>
        <w:tblLook w:val="04A0" w:firstRow="1" w:lastRow="0" w:firstColumn="1" w:lastColumn="0" w:noHBand="0" w:noVBand="1"/>
      </w:tblPr>
      <w:tblGrid>
        <w:gridCol w:w="9638"/>
      </w:tblGrid>
      <w:tr w:rsidR="00B93BCC" w14:paraId="623A2A58" w14:textId="77777777" w:rsidTr="00AB4665">
        <w:tc>
          <w:tcPr>
            <w:tcW w:w="9638" w:type="dxa"/>
          </w:tcPr>
          <w:p w14:paraId="735EB996" w14:textId="77777777" w:rsidR="006F6351" w:rsidRPr="00803B34" w:rsidRDefault="006F6351" w:rsidP="006F6351">
            <w:pPr>
              <w:spacing w:after="80"/>
              <w:rPr>
                <w:i/>
                <w:iCs/>
              </w:rPr>
            </w:pPr>
            <w:r w:rsidRPr="00803B34">
              <w:rPr>
                <w:i/>
                <w:iCs/>
              </w:rPr>
              <w:t>Key findings</w:t>
            </w:r>
          </w:p>
          <w:p w14:paraId="530C5422" w14:textId="2DBFE0DA" w:rsidR="002B7F33" w:rsidRDefault="00407171" w:rsidP="006F6351">
            <w:pPr>
              <w:pStyle w:val="Box"/>
            </w:pPr>
            <w:r>
              <w:t>The</w:t>
            </w:r>
            <w:r w:rsidR="00F135B9">
              <w:t xml:space="preserve"> </w:t>
            </w:r>
            <w:r w:rsidR="002B7F33">
              <w:t>expectation of</w:t>
            </w:r>
            <w:r w:rsidR="00F135B9">
              <w:t xml:space="preserve"> evaluation for external publication </w:t>
            </w:r>
            <w:r w:rsidR="0032571D">
              <w:t xml:space="preserve">set in the APPs </w:t>
            </w:r>
            <w:r w:rsidR="00F135B9">
              <w:t xml:space="preserve">is </w:t>
            </w:r>
            <w:r w:rsidR="00B065BB">
              <w:t xml:space="preserve">blurring the lines between evaluation and research. </w:t>
            </w:r>
            <w:r w:rsidR="00F21AE5">
              <w:t>Within institutions, t</w:t>
            </w:r>
            <w:r w:rsidR="00B065BB">
              <w:t xml:space="preserve">here are advantages in conceptualising </w:t>
            </w:r>
            <w:r w:rsidR="0032571D">
              <w:t xml:space="preserve">some types of ‘flagship’ </w:t>
            </w:r>
            <w:r w:rsidR="00B065BB">
              <w:t xml:space="preserve">evaluations which </w:t>
            </w:r>
            <w:r w:rsidR="003F322B">
              <w:t xml:space="preserve">are designed to inform the external (as well as the internal audience) as research since it could encourage increased scrutiny, </w:t>
            </w:r>
            <w:r w:rsidR="001A3866">
              <w:t xml:space="preserve">and </w:t>
            </w:r>
            <w:r w:rsidR="003F322B">
              <w:t>more resource</w:t>
            </w:r>
            <w:r w:rsidR="001A3866">
              <w:t xml:space="preserve">s to undertake the </w:t>
            </w:r>
            <w:r w:rsidR="001A053D">
              <w:t>evaluation</w:t>
            </w:r>
            <w:r w:rsidR="003F322B">
              <w:t xml:space="preserve"> and </w:t>
            </w:r>
            <w:r w:rsidR="001A3866">
              <w:t>make</w:t>
            </w:r>
            <w:r w:rsidR="003F322B">
              <w:t xml:space="preserve"> </w:t>
            </w:r>
            <w:r w:rsidR="001A3866">
              <w:t>better</w:t>
            </w:r>
            <w:r w:rsidR="003F322B">
              <w:t xml:space="preserve"> </w:t>
            </w:r>
            <w:r w:rsidR="001A053D">
              <w:t>considered evaluation</w:t>
            </w:r>
            <w:r w:rsidR="003F322B">
              <w:t xml:space="preserve"> design</w:t>
            </w:r>
            <w:r w:rsidR="001A053D">
              <w:t xml:space="preserve"> choices</w:t>
            </w:r>
            <w:r w:rsidR="003F322B">
              <w:t>.</w:t>
            </w:r>
            <w:r w:rsidR="001A053D">
              <w:t xml:space="preserve"> </w:t>
            </w:r>
            <w:r w:rsidR="00DF4297">
              <w:t xml:space="preserve">However, the amount of time/effort needed for external dissemination activities </w:t>
            </w:r>
            <w:r w:rsidR="005404EA">
              <w:t>is unclear and there is a concern to make sure it</w:t>
            </w:r>
            <w:r w:rsidR="00875978">
              <w:t xml:space="preserve"> i</w:t>
            </w:r>
            <w:r w:rsidR="005404EA">
              <w:t xml:space="preserve">s </w:t>
            </w:r>
            <w:r w:rsidR="0019522A">
              <w:t xml:space="preserve">proportionate within an overall strategy </w:t>
            </w:r>
            <w:r w:rsidR="002E383B">
              <w:t xml:space="preserve">so that </w:t>
            </w:r>
            <w:r w:rsidR="0019522A">
              <w:t xml:space="preserve">evaluation most effectively supports </w:t>
            </w:r>
            <w:r w:rsidR="002B7F33">
              <w:t xml:space="preserve">delivery and outcomes for </w:t>
            </w:r>
            <w:r w:rsidR="00D603A2">
              <w:t xml:space="preserve">disadvantaged </w:t>
            </w:r>
            <w:r w:rsidR="002B7F33">
              <w:t xml:space="preserve">students. </w:t>
            </w:r>
          </w:p>
          <w:p w14:paraId="735C3D24" w14:textId="1A85B4D5" w:rsidR="00747732" w:rsidRDefault="00747732" w:rsidP="00747732">
            <w:r>
              <w:t xml:space="preserve">There are advantages to reports in the HEEL being categorised against the standards to direct readers to how the knowledge can be used, but any assessments need to value the contribution from different evaluation contexts equally. However, there is a difference between the use of standards as an evaluation planning and development tool for APP evaluation work, and as a tool for retrospectively assessing the claims being made from specific impact evaluation reports. Using standards as a planning and development tool before/during an evaluation guides how the evaluation is conducted </w:t>
            </w:r>
            <w:proofErr w:type="gramStart"/>
            <w:r>
              <w:t>in order to</w:t>
            </w:r>
            <w:proofErr w:type="gramEnd"/>
            <w:r>
              <w:t xml:space="preserve"> ensure learning and improvement. Using standards as a retrospective assessment tool judges the validity of the causal evidence that has been produced </w:t>
            </w:r>
            <w:proofErr w:type="gramStart"/>
            <w:r>
              <w:t>in order to</w:t>
            </w:r>
            <w:proofErr w:type="gramEnd"/>
            <w:r>
              <w:t xml:space="preserve"> decide if an intervention is to be recommended more widely or not. </w:t>
            </w:r>
            <w:r w:rsidRPr="009E3707">
              <w:t xml:space="preserve">If </w:t>
            </w:r>
            <w:r>
              <w:t xml:space="preserve">the </w:t>
            </w:r>
            <w:r w:rsidRPr="009E3707">
              <w:t>distin</w:t>
            </w:r>
            <w:r>
              <w:t xml:space="preserve">ction between </w:t>
            </w:r>
            <w:r w:rsidRPr="009E3707">
              <w:t>these uses</w:t>
            </w:r>
            <w:r>
              <w:t xml:space="preserve"> isn’t clear, there’s a risk that </w:t>
            </w:r>
            <w:r w:rsidRPr="009E3707">
              <w:t>evaluation</w:t>
            </w:r>
            <w:r>
              <w:t xml:space="preserve"> is judged</w:t>
            </w:r>
            <w:r w:rsidRPr="009E3707">
              <w:t xml:space="preserve"> unfairly</w:t>
            </w:r>
            <w:r>
              <w:t xml:space="preserve"> (</w:t>
            </w:r>
            <w:r w:rsidRPr="009E3707">
              <w:t>for example, critici</w:t>
            </w:r>
            <w:r>
              <w:t>s</w:t>
            </w:r>
            <w:r w:rsidRPr="009E3707">
              <w:t>ing a</w:t>
            </w:r>
            <w:r>
              <w:t xml:space="preserve">n approach </w:t>
            </w:r>
            <w:r w:rsidRPr="009E3707">
              <w:t xml:space="preserve">for not </w:t>
            </w:r>
            <w:r>
              <w:t>meeting criteria</w:t>
            </w:r>
            <w:r w:rsidRPr="009E3707">
              <w:t xml:space="preserve"> it was never guided by</w:t>
            </w:r>
            <w:r>
              <w:t>)</w:t>
            </w:r>
            <w:r w:rsidRPr="009E3707">
              <w:t>.</w:t>
            </w:r>
            <w:r>
              <w:t xml:space="preserve"> </w:t>
            </w:r>
            <w:r w:rsidR="00AA09F2" w:rsidRPr="00AA09F2">
              <w:t xml:space="preserve">Overall, there is perhaps an appetite for sharing wide-ranging evaluation studies cutting across all types of evidence and applying </w:t>
            </w:r>
            <w:r w:rsidR="00740C77">
              <w:t xml:space="preserve">value </w:t>
            </w:r>
            <w:r w:rsidR="00AA09F2" w:rsidRPr="00AA09F2">
              <w:t>judgements o</w:t>
            </w:r>
            <w:r w:rsidR="00740C77">
              <w:t>f</w:t>
            </w:r>
            <w:r w:rsidR="00AA09F2" w:rsidRPr="00AA09F2">
              <w:t xml:space="preserve"> evaluations on their own merit or with reference methodological quality criteria rather than evidence </w:t>
            </w:r>
            <w:proofErr w:type="gramStart"/>
            <w:r w:rsidR="00AA09F2" w:rsidRPr="00AA09F2">
              <w:t>standards.</w:t>
            </w:r>
            <w:r>
              <w:t>.</w:t>
            </w:r>
            <w:proofErr w:type="gramEnd"/>
          </w:p>
          <w:p w14:paraId="07A86512" w14:textId="3BA25868" w:rsidR="00606E20" w:rsidRDefault="00C705F7" w:rsidP="006F6351">
            <w:pPr>
              <w:pStyle w:val="Box"/>
            </w:pPr>
            <w:r>
              <w:t xml:space="preserve">Decision-makers tend to lean towards evidence </w:t>
            </w:r>
            <w:r w:rsidR="00F00A79">
              <w:t xml:space="preserve">that </w:t>
            </w:r>
            <w:r>
              <w:t>reflect</w:t>
            </w:r>
            <w:r w:rsidR="00F00A79">
              <w:t>s</w:t>
            </w:r>
            <w:r>
              <w:t xml:space="preserve"> their </w:t>
            </w:r>
            <w:proofErr w:type="gramStart"/>
            <w:r>
              <w:t>particular circumstances</w:t>
            </w:r>
            <w:proofErr w:type="gramEnd"/>
            <w:r>
              <w:t xml:space="preserve"> and concerns. Useful evidence to support replication and transferability of interventions that have impact and associated effective practices needs to be contextualised to </w:t>
            </w:r>
            <w:r w:rsidR="00E31899">
              <w:t>draw</w:t>
            </w:r>
            <w:r>
              <w:t xml:space="preserve"> </w:t>
            </w:r>
            <w:r w:rsidR="0061134E">
              <w:t xml:space="preserve">out the </w:t>
            </w:r>
            <w:r>
              <w:t xml:space="preserve">implications for </w:t>
            </w:r>
            <w:r w:rsidR="00E31899">
              <w:t>other</w:t>
            </w:r>
            <w:r w:rsidR="0061134E">
              <w:t xml:space="preserve"> provider</w:t>
            </w:r>
            <w:r w:rsidR="00E31899">
              <w:t>s</w:t>
            </w:r>
            <w:r w:rsidR="00D274F9">
              <w:t xml:space="preserve">. </w:t>
            </w:r>
            <w:r>
              <w:t>If the knowledge is to help with replication, then understanding of the implementation and process factors</w:t>
            </w:r>
            <w:r w:rsidR="00350B4C">
              <w:t>,</w:t>
            </w:r>
            <w:r>
              <w:t xml:space="preserve"> </w:t>
            </w:r>
            <w:r w:rsidR="00350B4C">
              <w:t xml:space="preserve">including the targeting and deliver factors, </w:t>
            </w:r>
            <w:r>
              <w:t xml:space="preserve">need to be </w:t>
            </w:r>
            <w:r w:rsidR="00350B4C">
              <w:t>reported</w:t>
            </w:r>
            <w:r>
              <w:t xml:space="preserve"> alongside the evidence of impact. </w:t>
            </w:r>
          </w:p>
        </w:tc>
      </w:tr>
    </w:tbl>
    <w:p w14:paraId="42F17103" w14:textId="77777777" w:rsidR="00D603A2" w:rsidRPr="009C2DAF" w:rsidRDefault="00D603A2" w:rsidP="00AE610F">
      <w:pPr>
        <w:pStyle w:val="Heading2"/>
      </w:pPr>
      <w:bookmarkStart w:id="71" w:name="_Toc205504273"/>
      <w:r>
        <w:t>Generation of external evidence</w:t>
      </w:r>
      <w:bookmarkEnd w:id="71"/>
    </w:p>
    <w:p w14:paraId="586BBD04" w14:textId="13E669F9" w:rsidR="00BD7E9E" w:rsidRDefault="00D90F3E" w:rsidP="00E92153">
      <w:r>
        <w:t xml:space="preserve">The </w:t>
      </w:r>
      <w:r w:rsidR="002C1346">
        <w:t>emphasis on external knowledge generation</w:t>
      </w:r>
      <w:r>
        <w:t xml:space="preserve"> has </w:t>
      </w:r>
      <w:r w:rsidR="00E92153">
        <w:t>added</w:t>
      </w:r>
      <w:r w:rsidR="00BD7E9E">
        <w:t xml:space="preserve"> a new dimension into </w:t>
      </w:r>
      <w:r w:rsidR="007975D7">
        <w:t xml:space="preserve">APP </w:t>
      </w:r>
      <w:r w:rsidR="00BD7E9E">
        <w:t>evaluation work</w:t>
      </w:r>
      <w:r w:rsidR="00FE1B86">
        <w:t xml:space="preserve">. </w:t>
      </w:r>
    </w:p>
    <w:p w14:paraId="383F335F" w14:textId="7831DC98" w:rsidR="00BD7E9E" w:rsidRDefault="00BD7E9E" w:rsidP="00BD7E9E">
      <w:pPr>
        <w:ind w:left="576"/>
        <w:rPr>
          <w:i/>
          <w:iCs/>
        </w:rPr>
      </w:pPr>
      <w:r w:rsidRPr="00F17189">
        <w:rPr>
          <w:i/>
          <w:iCs/>
        </w:rPr>
        <w:lastRenderedPageBreak/>
        <w:t xml:space="preserve">If you’re talking about </w:t>
      </w:r>
      <w:proofErr w:type="gramStart"/>
      <w:r w:rsidRPr="00F17189">
        <w:rPr>
          <w:i/>
          <w:iCs/>
        </w:rPr>
        <w:t>evaluation</w:t>
      </w:r>
      <w:proofErr w:type="gramEnd"/>
      <w:r w:rsidRPr="00F17189">
        <w:rPr>
          <w:i/>
          <w:iCs/>
        </w:rPr>
        <w:t xml:space="preserve"> then you’re not contributing to knowledge in the same way - the traditional research principle – evaluation is for </w:t>
      </w:r>
      <w:proofErr w:type="gramStart"/>
      <w:r w:rsidRPr="00F17189">
        <w:rPr>
          <w:i/>
          <w:iCs/>
        </w:rPr>
        <w:t>whether or not</w:t>
      </w:r>
      <w:proofErr w:type="gramEnd"/>
      <w:r w:rsidRPr="00F17189">
        <w:rPr>
          <w:i/>
          <w:iCs/>
        </w:rPr>
        <w:t xml:space="preserve"> something you did had value and the implications for your practice – others can learn but that’s not the primary objective. John Blake talks like it can be research – if we talk about evaluation as research – it can be confusing. </w:t>
      </w:r>
    </w:p>
    <w:p w14:paraId="3BFF0FE9" w14:textId="1D0E4B91" w:rsidR="00361401" w:rsidRDefault="008229F7" w:rsidP="00BD7E9E">
      <w:r>
        <w:t xml:space="preserve">The focus on external publication raises issues about whether evaluation should be prioritised with an external or internal audience in mind. The ideal is both. </w:t>
      </w:r>
      <w:r w:rsidR="006C30B1">
        <w:t xml:space="preserve">The type of outputs which are needed and amount of time and effort that access and participation colleagues will be expending on materials for submission to the HEEL is </w:t>
      </w:r>
      <w:proofErr w:type="gramStart"/>
      <w:r w:rsidR="006C30B1">
        <w:t>as yet</w:t>
      </w:r>
      <w:proofErr w:type="gramEnd"/>
      <w:r w:rsidR="006C30B1">
        <w:t xml:space="preserve"> unclear. </w:t>
      </w:r>
      <w:r w:rsidR="00EC0E58">
        <w:t xml:space="preserve">It’s early days but implications </w:t>
      </w:r>
      <w:r w:rsidR="00B301E9">
        <w:t xml:space="preserve">were identified </w:t>
      </w:r>
      <w:r w:rsidR="00EC0E58">
        <w:t xml:space="preserve">for how </w:t>
      </w:r>
      <w:r w:rsidR="00162321">
        <w:t xml:space="preserve">APP </w:t>
      </w:r>
      <w:r w:rsidR="00EC0E58">
        <w:t>evaluation</w:t>
      </w:r>
      <w:r w:rsidR="00162321">
        <w:t>s</w:t>
      </w:r>
      <w:r w:rsidR="00EC0E58">
        <w:t xml:space="preserve"> which have an external audience in mind </w:t>
      </w:r>
      <w:r w:rsidR="0009079E">
        <w:t>are</w:t>
      </w:r>
      <w:r w:rsidR="00EC0E58">
        <w:t xml:space="preserve"> viewed. </w:t>
      </w:r>
      <w:r w:rsidR="00753C65">
        <w:t xml:space="preserve">A common </w:t>
      </w:r>
      <w:r w:rsidR="00F2376B">
        <w:t xml:space="preserve">approach </w:t>
      </w:r>
      <w:r w:rsidR="0009079E">
        <w:t>involved</w:t>
      </w:r>
      <w:r w:rsidR="00F2376B">
        <w:t xml:space="preserve"> </w:t>
      </w:r>
      <w:r w:rsidR="0009079E">
        <w:t xml:space="preserve">prioritising </w:t>
      </w:r>
      <w:r w:rsidR="00F2376B">
        <w:t xml:space="preserve">certain flagship evaluations </w:t>
      </w:r>
      <w:r w:rsidR="00190E82">
        <w:t xml:space="preserve">for a sector audience </w:t>
      </w:r>
      <w:r w:rsidR="00F2376B">
        <w:t>as part of an external dissemination strategy</w:t>
      </w:r>
      <w:r w:rsidR="003B69E3">
        <w:t xml:space="preserve">. </w:t>
      </w:r>
      <w:r w:rsidR="00472B60">
        <w:t>Thi</w:t>
      </w:r>
      <w:r w:rsidR="003B69E3">
        <w:t xml:space="preserve">s approach could be beneficial </w:t>
      </w:r>
      <w:r w:rsidR="003659AF">
        <w:t xml:space="preserve">– for example by </w:t>
      </w:r>
      <w:r w:rsidR="00361401">
        <w:t>adding an additional level of scrutiny and review</w:t>
      </w:r>
      <w:r w:rsidR="003B69E3">
        <w:t xml:space="preserve">. </w:t>
      </w:r>
    </w:p>
    <w:p w14:paraId="06761D9F" w14:textId="7AEF9308" w:rsidR="00187E3B" w:rsidRDefault="00361401" w:rsidP="00187E3B">
      <w:pPr>
        <w:ind w:left="567"/>
        <w:rPr>
          <w:i/>
          <w:iCs/>
        </w:rPr>
      </w:pPr>
      <w:r w:rsidRPr="003B69E3">
        <w:rPr>
          <w:i/>
          <w:iCs/>
        </w:rPr>
        <w:t xml:space="preserve">Confirmation bias is built in </w:t>
      </w:r>
      <w:r w:rsidR="00363630">
        <w:rPr>
          <w:i/>
          <w:iCs/>
        </w:rPr>
        <w:t>–</w:t>
      </w:r>
      <w:r w:rsidRPr="003B69E3">
        <w:rPr>
          <w:i/>
          <w:iCs/>
        </w:rPr>
        <w:t xml:space="preserve"> </w:t>
      </w:r>
      <w:r w:rsidR="00363630">
        <w:rPr>
          <w:i/>
          <w:iCs/>
        </w:rPr>
        <w:t xml:space="preserve">there’s </w:t>
      </w:r>
      <w:r w:rsidRPr="003B69E3">
        <w:rPr>
          <w:i/>
          <w:iCs/>
        </w:rPr>
        <w:t xml:space="preserve">a strong presumption it works. </w:t>
      </w:r>
      <w:r w:rsidR="00363630">
        <w:rPr>
          <w:i/>
          <w:iCs/>
        </w:rPr>
        <w:t>We d</w:t>
      </w:r>
      <w:r w:rsidRPr="003B69E3">
        <w:rPr>
          <w:i/>
          <w:iCs/>
        </w:rPr>
        <w:t xml:space="preserve">on’t challenge </w:t>
      </w:r>
      <w:r w:rsidR="00363630">
        <w:rPr>
          <w:i/>
          <w:iCs/>
        </w:rPr>
        <w:t>our</w:t>
      </w:r>
      <w:r w:rsidRPr="003B69E3">
        <w:rPr>
          <w:i/>
          <w:iCs/>
        </w:rPr>
        <w:t>sel</w:t>
      </w:r>
      <w:r w:rsidR="00DD268F">
        <w:rPr>
          <w:i/>
          <w:iCs/>
        </w:rPr>
        <w:t>ves</w:t>
      </w:r>
      <w:r w:rsidRPr="003B69E3">
        <w:rPr>
          <w:i/>
          <w:iCs/>
        </w:rPr>
        <w:t xml:space="preserve">, unless </w:t>
      </w:r>
      <w:r w:rsidR="00363630">
        <w:rPr>
          <w:i/>
          <w:iCs/>
        </w:rPr>
        <w:t xml:space="preserve">we </w:t>
      </w:r>
      <w:r w:rsidRPr="003B69E3">
        <w:rPr>
          <w:i/>
          <w:iCs/>
        </w:rPr>
        <w:t xml:space="preserve">turn </w:t>
      </w:r>
      <w:r w:rsidR="00DE0D76">
        <w:rPr>
          <w:i/>
          <w:iCs/>
        </w:rPr>
        <w:t xml:space="preserve">it </w:t>
      </w:r>
      <w:r w:rsidRPr="003B69E3">
        <w:rPr>
          <w:i/>
          <w:iCs/>
        </w:rPr>
        <w:t xml:space="preserve">into </w:t>
      </w:r>
      <w:r w:rsidR="00396C6A">
        <w:rPr>
          <w:i/>
          <w:iCs/>
        </w:rPr>
        <w:t xml:space="preserve">a </w:t>
      </w:r>
      <w:r w:rsidRPr="003B69E3">
        <w:rPr>
          <w:i/>
          <w:iCs/>
        </w:rPr>
        <w:t>special project</w:t>
      </w:r>
      <w:r w:rsidR="003B69E3">
        <w:rPr>
          <w:i/>
          <w:iCs/>
        </w:rPr>
        <w:t xml:space="preserve">. </w:t>
      </w:r>
    </w:p>
    <w:p w14:paraId="6BEDE2B5" w14:textId="415757D8" w:rsidR="003C5E0F" w:rsidRDefault="003C5E0F" w:rsidP="003C5E0F">
      <w:pPr>
        <w:ind w:left="576"/>
        <w:rPr>
          <w:i/>
          <w:iCs/>
        </w:rPr>
      </w:pPr>
      <w:r w:rsidRPr="00341DCC">
        <w:rPr>
          <w:i/>
          <w:iCs/>
        </w:rPr>
        <w:t xml:space="preserve">When we lean into the research zone that helps us. </w:t>
      </w:r>
      <w:r>
        <w:rPr>
          <w:i/>
          <w:iCs/>
        </w:rPr>
        <w:t>When there’s a r</w:t>
      </w:r>
      <w:r w:rsidRPr="00341DCC">
        <w:rPr>
          <w:i/>
          <w:iCs/>
        </w:rPr>
        <w:t xml:space="preserve">equirement </w:t>
      </w:r>
      <w:r>
        <w:rPr>
          <w:i/>
          <w:iCs/>
        </w:rPr>
        <w:t xml:space="preserve">for </w:t>
      </w:r>
      <w:r w:rsidRPr="00341DCC">
        <w:rPr>
          <w:i/>
          <w:iCs/>
        </w:rPr>
        <w:t xml:space="preserve">research experience and </w:t>
      </w:r>
      <w:r>
        <w:rPr>
          <w:i/>
          <w:iCs/>
        </w:rPr>
        <w:t>things</w:t>
      </w:r>
      <w:r w:rsidRPr="00341DCC">
        <w:rPr>
          <w:i/>
          <w:iCs/>
        </w:rPr>
        <w:t xml:space="preserve"> </w:t>
      </w:r>
      <w:r>
        <w:rPr>
          <w:i/>
          <w:iCs/>
        </w:rPr>
        <w:t xml:space="preserve">move </w:t>
      </w:r>
      <w:r w:rsidRPr="00341DCC">
        <w:rPr>
          <w:i/>
          <w:iCs/>
        </w:rPr>
        <w:t xml:space="preserve">more towards </w:t>
      </w:r>
      <w:proofErr w:type="gramStart"/>
      <w:r w:rsidRPr="00341DCC">
        <w:rPr>
          <w:i/>
          <w:iCs/>
        </w:rPr>
        <w:t>research</w:t>
      </w:r>
      <w:proofErr w:type="gramEnd"/>
      <w:r w:rsidRPr="00341DCC">
        <w:rPr>
          <w:i/>
          <w:iCs/>
        </w:rPr>
        <w:t xml:space="preserve"> </w:t>
      </w:r>
      <w:r>
        <w:rPr>
          <w:i/>
          <w:iCs/>
        </w:rPr>
        <w:t>they</w:t>
      </w:r>
      <w:r w:rsidRPr="00341DCC">
        <w:rPr>
          <w:i/>
          <w:iCs/>
        </w:rPr>
        <w:t xml:space="preserve"> move away </w:t>
      </w:r>
      <w:r>
        <w:rPr>
          <w:i/>
          <w:iCs/>
        </w:rPr>
        <w:t xml:space="preserve">from a </w:t>
      </w:r>
      <w:r w:rsidRPr="00341DCC">
        <w:rPr>
          <w:i/>
          <w:iCs/>
        </w:rPr>
        <w:t>localised feel of evaluating practice.</w:t>
      </w:r>
    </w:p>
    <w:p w14:paraId="1FF8ECE3" w14:textId="77777777" w:rsidR="008A0D53" w:rsidRDefault="008A0D53" w:rsidP="008A0D53">
      <w:pPr>
        <w:ind w:left="567"/>
        <w:rPr>
          <w:i/>
          <w:iCs/>
        </w:rPr>
      </w:pPr>
      <w:r w:rsidRPr="00187E3B">
        <w:rPr>
          <w:i/>
          <w:iCs/>
        </w:rPr>
        <w:t>We might pick individual projects at Types 2-3 – make them evaluation priorities and commit to publishing. It might not be super scientific, but reasonable, and interesting to the institution and regulator, and these might usually be newer, but broadly feasible. A novelty but importan</w:t>
      </w:r>
      <w:r>
        <w:rPr>
          <w:i/>
          <w:iCs/>
        </w:rPr>
        <w:t>t</w:t>
      </w:r>
      <w:r w:rsidRPr="00187E3B">
        <w:rPr>
          <w:i/>
          <w:iCs/>
        </w:rPr>
        <w:t xml:space="preserve"> and what </w:t>
      </w:r>
      <w:r>
        <w:rPr>
          <w:i/>
          <w:iCs/>
        </w:rPr>
        <w:t xml:space="preserve">we </w:t>
      </w:r>
      <w:r w:rsidRPr="00187E3B">
        <w:rPr>
          <w:i/>
          <w:iCs/>
        </w:rPr>
        <w:t>know about.</w:t>
      </w:r>
    </w:p>
    <w:p w14:paraId="0B24DF98" w14:textId="21A128EA" w:rsidR="00BD7E9E" w:rsidRDefault="00456EA5" w:rsidP="00BD7E9E">
      <w:r>
        <w:t>For this kind of dissemination, t</w:t>
      </w:r>
      <w:r w:rsidR="00BD7E9E">
        <w:t>here was perhaps a sense that the types of evaluations that would be disseminated for sector-wide knowledge development should be viewed as ‘e</w:t>
      </w:r>
      <w:r w:rsidR="00BD7E9E" w:rsidRPr="003D56B6">
        <w:t>valuative research</w:t>
      </w:r>
      <w:r w:rsidR="00BD7E9E">
        <w:t xml:space="preserve">’. This would define the studies </w:t>
      </w:r>
      <w:proofErr w:type="gramStart"/>
      <w:r w:rsidR="00BD7E9E">
        <w:t>fairly broadly</w:t>
      </w:r>
      <w:proofErr w:type="gramEnd"/>
      <w:r w:rsidR="00BD7E9E">
        <w:t xml:space="preserve"> as a</w:t>
      </w:r>
      <w:r w:rsidR="00BD7E9E" w:rsidRPr="003D56B6">
        <w:t xml:space="preserve"> method used to assess the design, implementation, and outcomes of program</w:t>
      </w:r>
      <w:r w:rsidR="00BD7E9E">
        <w:t xml:space="preserve">mes/interventions. Impact evaluation studies could come within the overall </w:t>
      </w:r>
      <w:proofErr w:type="gramStart"/>
      <w:r w:rsidR="00BD7E9E">
        <w:t>banner</w:t>
      </w:r>
      <w:proofErr w:type="gramEnd"/>
      <w:r w:rsidR="00BD7E9E">
        <w:t xml:space="preserve"> but it would also include other objectives such as </w:t>
      </w:r>
      <w:r w:rsidR="00BD7E9E" w:rsidRPr="003D56B6">
        <w:t xml:space="preserve">the effectiveness, efficiency, and relevance of </w:t>
      </w:r>
      <w:r w:rsidR="00451835">
        <w:t xml:space="preserve">interventions </w:t>
      </w:r>
      <w:r w:rsidR="00BD7E9E" w:rsidRPr="003D56B6">
        <w:t xml:space="preserve">in achieving their intended goals. </w:t>
      </w:r>
      <w:r w:rsidR="00BD7E9E">
        <w:t xml:space="preserve">All these types of </w:t>
      </w:r>
      <w:r w:rsidR="00BD7E9E" w:rsidRPr="003D56B6">
        <w:t xml:space="preserve">research </w:t>
      </w:r>
      <w:r w:rsidR="00BD7E9E">
        <w:t>are useful to</w:t>
      </w:r>
      <w:r w:rsidR="00BD7E9E" w:rsidRPr="003D56B6">
        <w:t xml:space="preserve"> measure performance </w:t>
      </w:r>
      <w:r w:rsidR="00BD7E9E">
        <w:t>a</w:t>
      </w:r>
      <w:r w:rsidR="00F12602">
        <w:t>n</w:t>
      </w:r>
      <w:r w:rsidR="00BD7E9E">
        <w:t xml:space="preserve">d whether a particular intervention is working, </w:t>
      </w:r>
      <w:r w:rsidR="00F12602">
        <w:t>or</w:t>
      </w:r>
      <w:r w:rsidR="00BD7E9E">
        <w:t xml:space="preserve"> </w:t>
      </w:r>
      <w:r w:rsidR="00BD7E9E" w:rsidRPr="003D56B6">
        <w:t xml:space="preserve">identify areas for improvement, making </w:t>
      </w:r>
      <w:r w:rsidR="00BD7E9E">
        <w:t>them useful</w:t>
      </w:r>
      <w:r w:rsidR="00BD7E9E" w:rsidRPr="003D56B6">
        <w:t xml:space="preserve"> for informed decision-making. </w:t>
      </w:r>
      <w:r w:rsidR="00BD7E9E">
        <w:t xml:space="preserve">Practitioners in institutions are perhaps also interested in </w:t>
      </w:r>
      <w:r w:rsidR="00BD7E9E" w:rsidRPr="003D56B6">
        <w:t xml:space="preserve">understanding </w:t>
      </w:r>
      <w:r w:rsidR="00770BEE">
        <w:t xml:space="preserve">how </w:t>
      </w:r>
      <w:r w:rsidR="00BD7E9E">
        <w:t>student</w:t>
      </w:r>
      <w:r w:rsidR="00770BEE">
        <w:t>s</w:t>
      </w:r>
      <w:r w:rsidR="00BD7E9E" w:rsidRPr="003D56B6">
        <w:t xml:space="preserve"> experience </w:t>
      </w:r>
      <w:proofErr w:type="gramStart"/>
      <w:r w:rsidR="00BD7E9E">
        <w:t>particular interventions</w:t>
      </w:r>
      <w:proofErr w:type="gramEnd"/>
      <w:r w:rsidR="00BD7E9E" w:rsidRPr="003D56B6">
        <w:t>.</w:t>
      </w:r>
    </w:p>
    <w:p w14:paraId="352B32D9" w14:textId="4FC2A25D" w:rsidR="00341DCC" w:rsidRDefault="00116EFA" w:rsidP="00341DCC">
      <w:pPr>
        <w:ind w:left="576"/>
        <w:rPr>
          <w:i/>
          <w:iCs/>
        </w:rPr>
      </w:pPr>
      <w:r w:rsidRPr="00E973B2">
        <w:rPr>
          <w:i/>
          <w:iCs/>
        </w:rPr>
        <w:t xml:space="preserve">Evaluation </w:t>
      </w:r>
      <w:r>
        <w:rPr>
          <w:i/>
          <w:iCs/>
        </w:rPr>
        <w:t>i</w:t>
      </w:r>
      <w:r w:rsidRPr="00E973B2">
        <w:rPr>
          <w:i/>
          <w:iCs/>
        </w:rPr>
        <w:t xml:space="preserve">s research – you get a report – </w:t>
      </w:r>
      <w:r>
        <w:rPr>
          <w:i/>
          <w:iCs/>
        </w:rPr>
        <w:t xml:space="preserve">that </w:t>
      </w:r>
      <w:r w:rsidRPr="00E973B2">
        <w:rPr>
          <w:i/>
          <w:iCs/>
        </w:rPr>
        <w:t xml:space="preserve">legitimises it to </w:t>
      </w:r>
      <w:r>
        <w:rPr>
          <w:i/>
          <w:iCs/>
        </w:rPr>
        <w:t xml:space="preserve">the </w:t>
      </w:r>
      <w:r w:rsidRPr="00E973B2">
        <w:rPr>
          <w:i/>
          <w:iCs/>
        </w:rPr>
        <w:t xml:space="preserve">wider HE </w:t>
      </w:r>
      <w:proofErr w:type="gramStart"/>
      <w:r w:rsidRPr="00E973B2">
        <w:rPr>
          <w:i/>
          <w:iCs/>
        </w:rPr>
        <w:t>crowd</w:t>
      </w:r>
      <w:proofErr w:type="gramEnd"/>
      <w:r w:rsidRPr="00E973B2">
        <w:rPr>
          <w:i/>
          <w:iCs/>
        </w:rPr>
        <w:t xml:space="preserve">. </w:t>
      </w:r>
      <w:r>
        <w:rPr>
          <w:i/>
          <w:iCs/>
        </w:rPr>
        <w:t>We do l</w:t>
      </w:r>
      <w:r w:rsidRPr="00E973B2">
        <w:rPr>
          <w:i/>
          <w:iCs/>
        </w:rPr>
        <w:t>ook at it like research</w:t>
      </w:r>
      <w:r>
        <w:rPr>
          <w:i/>
          <w:iCs/>
        </w:rPr>
        <w:t>. We’re</w:t>
      </w:r>
      <w:r w:rsidRPr="00E973B2">
        <w:rPr>
          <w:i/>
          <w:iCs/>
        </w:rPr>
        <w:t xml:space="preserve"> doing </w:t>
      </w:r>
      <w:r>
        <w:rPr>
          <w:i/>
          <w:iCs/>
        </w:rPr>
        <w:t xml:space="preserve">the </w:t>
      </w:r>
      <w:r w:rsidRPr="00E973B2">
        <w:rPr>
          <w:i/>
          <w:iCs/>
        </w:rPr>
        <w:t>same activities</w:t>
      </w:r>
      <w:r>
        <w:rPr>
          <w:i/>
          <w:iCs/>
        </w:rPr>
        <w:t>: a l</w:t>
      </w:r>
      <w:r w:rsidRPr="00E973B2">
        <w:rPr>
          <w:i/>
          <w:iCs/>
        </w:rPr>
        <w:t>iterature review</w:t>
      </w:r>
      <w:r>
        <w:rPr>
          <w:i/>
          <w:iCs/>
        </w:rPr>
        <w:t>;</w:t>
      </w:r>
      <w:r w:rsidRPr="00E973B2">
        <w:rPr>
          <w:i/>
          <w:iCs/>
        </w:rPr>
        <w:t xml:space="preserve"> gathering data/evidence</w:t>
      </w:r>
      <w:r>
        <w:rPr>
          <w:i/>
          <w:iCs/>
        </w:rPr>
        <w:t>;</w:t>
      </w:r>
      <w:r w:rsidRPr="00E973B2">
        <w:rPr>
          <w:i/>
          <w:iCs/>
        </w:rPr>
        <w:t xml:space="preserve"> making recommendations. </w:t>
      </w:r>
      <w:r w:rsidR="00C84336">
        <w:rPr>
          <w:i/>
          <w:iCs/>
        </w:rPr>
        <w:t>You c</w:t>
      </w:r>
      <w:r w:rsidRPr="00E973B2">
        <w:rPr>
          <w:i/>
          <w:iCs/>
        </w:rPr>
        <w:t xml:space="preserve">an’t be snooty about </w:t>
      </w:r>
      <w:proofErr w:type="gramStart"/>
      <w:r w:rsidRPr="00E973B2">
        <w:rPr>
          <w:i/>
          <w:iCs/>
        </w:rPr>
        <w:t>it,</w:t>
      </w:r>
      <w:proofErr w:type="gramEnd"/>
      <w:r w:rsidRPr="00E973B2">
        <w:rPr>
          <w:i/>
          <w:iCs/>
        </w:rPr>
        <w:t xml:space="preserve"> </w:t>
      </w:r>
      <w:r>
        <w:rPr>
          <w:i/>
          <w:iCs/>
        </w:rPr>
        <w:t xml:space="preserve">we’re </w:t>
      </w:r>
      <w:r w:rsidRPr="00E973B2">
        <w:rPr>
          <w:i/>
          <w:iCs/>
        </w:rPr>
        <w:t>researching the effectiveness of our programme</w:t>
      </w:r>
      <w:r>
        <w:rPr>
          <w:i/>
          <w:iCs/>
        </w:rPr>
        <w:t>s</w:t>
      </w:r>
      <w:r w:rsidRPr="00E973B2">
        <w:rPr>
          <w:i/>
          <w:iCs/>
        </w:rPr>
        <w:t>.</w:t>
      </w:r>
    </w:p>
    <w:p w14:paraId="4CD551DF" w14:textId="5D0F19B2" w:rsidR="00E769E4" w:rsidRDefault="00E769E4" w:rsidP="00E769E4">
      <w:r>
        <w:t xml:space="preserve">A parallel approach was to go down the line of increased sharing </w:t>
      </w:r>
      <w:r w:rsidR="00753978">
        <w:t xml:space="preserve">of </w:t>
      </w:r>
      <w:r w:rsidR="00C8544F">
        <w:t xml:space="preserve">evidence of </w:t>
      </w:r>
      <w:r w:rsidR="00C1504C">
        <w:t>t</w:t>
      </w:r>
      <w:r w:rsidR="00C8544F">
        <w:t xml:space="preserve">he overall </w:t>
      </w:r>
      <w:r w:rsidR="00753978">
        <w:t xml:space="preserve">impacts and </w:t>
      </w:r>
      <w:r w:rsidR="00C8544F">
        <w:t>benefit</w:t>
      </w:r>
      <w:r w:rsidR="00753978">
        <w:t>s</w:t>
      </w:r>
      <w:r w:rsidR="00C8544F">
        <w:t xml:space="preserve"> </w:t>
      </w:r>
      <w:r>
        <w:t>of what perhaps might be seen as ‘</w:t>
      </w:r>
      <w:r w:rsidR="00753978">
        <w:t>the package</w:t>
      </w:r>
      <w:r>
        <w:t xml:space="preserve">’ </w:t>
      </w:r>
      <w:r w:rsidR="00753978">
        <w:t xml:space="preserve">of </w:t>
      </w:r>
      <w:r>
        <w:t xml:space="preserve">interventions within an overall </w:t>
      </w:r>
      <w:r w:rsidR="00753978">
        <w:t>Institutional Strategy or programme</w:t>
      </w:r>
      <w:r w:rsidR="00896A11">
        <w:t xml:space="preserve">. For </w:t>
      </w:r>
      <w:proofErr w:type="gramStart"/>
      <w:r w:rsidR="00896A11">
        <w:t>example</w:t>
      </w:r>
      <w:proofErr w:type="gramEnd"/>
      <w:r w:rsidR="00896A11">
        <w:t xml:space="preserve"> these could be </w:t>
      </w:r>
      <w:r>
        <w:t>report</w:t>
      </w:r>
      <w:r w:rsidR="00896A11">
        <w:t>ed</w:t>
      </w:r>
      <w:r>
        <w:t xml:space="preserve"> as part of annual reports/reviews which </w:t>
      </w:r>
      <w:r w:rsidR="004E0065">
        <w:t>are disseminated</w:t>
      </w:r>
      <w:r>
        <w:t xml:space="preserve"> externally. </w:t>
      </w:r>
    </w:p>
    <w:p w14:paraId="5FECEAF4" w14:textId="48359D62" w:rsidR="007C1C37" w:rsidRDefault="0057182A" w:rsidP="00AE610F">
      <w:pPr>
        <w:pStyle w:val="Heading2"/>
      </w:pPr>
      <w:bookmarkStart w:id="72" w:name="_Toc205504274"/>
      <w:r>
        <w:t xml:space="preserve">Making </w:t>
      </w:r>
      <w:r w:rsidR="009C2DAF">
        <w:t xml:space="preserve">post hoc </w:t>
      </w:r>
      <w:r>
        <w:t xml:space="preserve">judgements about impact </w:t>
      </w:r>
      <w:r w:rsidR="002D27D3">
        <w:t>evidence</w:t>
      </w:r>
      <w:bookmarkEnd w:id="72"/>
    </w:p>
    <w:p w14:paraId="26869D4C" w14:textId="77777777" w:rsidR="00624F91" w:rsidRDefault="00624F91" w:rsidP="00624F91">
      <w:r>
        <w:t xml:space="preserve">Where resources are short the decision perhaps needs to be based on the imperative to use evaluation for the best effect to improve effectiveness and outcomes for students. Resource constraints for evaluation external reporting could potentially discriminate against some types of </w:t>
      </w:r>
      <w:proofErr w:type="gramStart"/>
      <w:r>
        <w:t>organisation</w:t>
      </w:r>
      <w:proofErr w:type="gramEnd"/>
      <w:r>
        <w:t xml:space="preserve"> for which there is less interest already in external publication (for example within providers where there is less focus on the generation of academic articles). Key informants spoke about the need for wide-ranging kinds of outputs of evaluation evidence, emerging across all kinds of higher education provider contexts. </w:t>
      </w:r>
    </w:p>
    <w:p w14:paraId="154D2901" w14:textId="7B7CA6E5" w:rsidR="00624F91" w:rsidRPr="000F0F2D" w:rsidRDefault="00624F91" w:rsidP="00624F91">
      <w:pPr>
        <w:ind w:left="567"/>
        <w:rPr>
          <w:i/>
          <w:iCs/>
        </w:rPr>
      </w:pPr>
      <w:r w:rsidRPr="00410FAD">
        <w:rPr>
          <w:i/>
          <w:iCs/>
        </w:rPr>
        <w:t xml:space="preserve">I think particularly </w:t>
      </w:r>
      <w:r>
        <w:rPr>
          <w:i/>
          <w:iCs/>
        </w:rPr>
        <w:t xml:space="preserve">as </w:t>
      </w:r>
      <w:r w:rsidRPr="00410FAD">
        <w:rPr>
          <w:i/>
          <w:iCs/>
        </w:rPr>
        <w:t xml:space="preserve">someone who started their </w:t>
      </w:r>
      <w:r>
        <w:rPr>
          <w:i/>
          <w:iCs/>
        </w:rPr>
        <w:t>higher education</w:t>
      </w:r>
      <w:r w:rsidRPr="00410FAD">
        <w:rPr>
          <w:i/>
          <w:iCs/>
        </w:rPr>
        <w:t xml:space="preserve"> career </w:t>
      </w:r>
      <w:r w:rsidR="00096DBB">
        <w:rPr>
          <w:i/>
          <w:iCs/>
        </w:rPr>
        <w:t xml:space="preserve">in </w:t>
      </w:r>
      <w:r>
        <w:rPr>
          <w:i/>
          <w:iCs/>
        </w:rPr>
        <w:t>further education and</w:t>
      </w:r>
      <w:r w:rsidRPr="00410FAD">
        <w:rPr>
          <w:i/>
          <w:iCs/>
        </w:rPr>
        <w:t xml:space="preserve"> knowing </w:t>
      </w:r>
      <w:r>
        <w:rPr>
          <w:i/>
          <w:iCs/>
        </w:rPr>
        <w:t xml:space="preserve">the </w:t>
      </w:r>
      <w:r w:rsidRPr="00410FAD">
        <w:rPr>
          <w:i/>
          <w:iCs/>
        </w:rPr>
        <w:t>capacity that those institutions have, they need to know that their evaluation and their kind of learning, however, they can generate that and present that still has value within the sector</w:t>
      </w:r>
      <w:r>
        <w:rPr>
          <w:i/>
          <w:iCs/>
        </w:rPr>
        <w:t xml:space="preserve">. </w:t>
      </w:r>
    </w:p>
    <w:p w14:paraId="17D92384" w14:textId="378BFC56" w:rsidR="00BD7E9E" w:rsidRDefault="00BD7E9E" w:rsidP="00BD7E9E">
      <w:r>
        <w:t xml:space="preserve">Categorisation of disseminated evaluation reports in the HEEL repository according to standards was potentially considered a good thing </w:t>
      </w:r>
      <w:proofErr w:type="gramStart"/>
      <w:r>
        <w:t>in order to</w:t>
      </w:r>
      <w:proofErr w:type="gramEnd"/>
      <w:r>
        <w:t xml:space="preserve"> help readers assess the nature of the evaluation and how the </w:t>
      </w:r>
      <w:r>
        <w:lastRenderedPageBreak/>
        <w:t xml:space="preserve">findings should be used. However, some sense of trepidation was </w:t>
      </w:r>
      <w:r w:rsidR="009F10F4">
        <w:t>evident</w:t>
      </w:r>
      <w:r>
        <w:t xml:space="preserve"> in relation to how evidence will be </w:t>
      </w:r>
      <w:r w:rsidR="009F10F4">
        <w:t xml:space="preserve">value </w:t>
      </w:r>
      <w:r>
        <w:t>judged</w:t>
      </w:r>
      <w:r w:rsidR="00A37B92">
        <w:t xml:space="preserve">. </w:t>
      </w:r>
    </w:p>
    <w:p w14:paraId="324D4394" w14:textId="3B361559" w:rsidR="005F141D" w:rsidRPr="005F141D" w:rsidRDefault="00BD7E9E" w:rsidP="00DC7196">
      <w:pPr>
        <w:ind w:left="567"/>
        <w:rPr>
          <w:i/>
          <w:iCs/>
        </w:rPr>
      </w:pPr>
      <w:r w:rsidRPr="00D53BB3">
        <w:rPr>
          <w:i/>
          <w:iCs/>
        </w:rPr>
        <w:t xml:space="preserve">We think we’ve done a good job of balancing </w:t>
      </w:r>
      <w:proofErr w:type="spellStart"/>
      <w:r w:rsidRPr="00D53BB3">
        <w:rPr>
          <w:i/>
          <w:iCs/>
        </w:rPr>
        <w:t>OfS</w:t>
      </w:r>
      <w:proofErr w:type="spellEnd"/>
      <w:r w:rsidRPr="00D53BB3">
        <w:rPr>
          <w:i/>
          <w:iCs/>
        </w:rPr>
        <w:t xml:space="preserve"> requirements and a decent standard. But what does it look like across the sector? </w:t>
      </w:r>
      <w:proofErr w:type="gramStart"/>
      <w:r w:rsidRPr="00D53BB3">
        <w:rPr>
          <w:i/>
          <w:iCs/>
        </w:rPr>
        <w:t>Plus</w:t>
      </w:r>
      <w:proofErr w:type="gramEnd"/>
      <w:r w:rsidRPr="00D53BB3">
        <w:rPr>
          <w:i/>
          <w:iCs/>
        </w:rPr>
        <w:t xml:space="preserve"> there is an issue about how we share individual evaluations with colleagues and the fear of how that’s presented. We’ve</w:t>
      </w:r>
      <w:r>
        <w:rPr>
          <w:i/>
          <w:iCs/>
        </w:rPr>
        <w:t xml:space="preserve"> the</w:t>
      </w:r>
      <w:r w:rsidRPr="00D53BB3">
        <w:rPr>
          <w:i/>
          <w:iCs/>
        </w:rPr>
        <w:t xml:space="preserve"> right expertise but a challenging lack of resources. There’s that nervousness around secto</w:t>
      </w:r>
      <w:r w:rsidR="00A37B92">
        <w:rPr>
          <w:i/>
          <w:iCs/>
        </w:rPr>
        <w:t>r</w:t>
      </w:r>
      <w:r>
        <w:rPr>
          <w:i/>
          <w:iCs/>
        </w:rPr>
        <w:t xml:space="preserve">. </w:t>
      </w:r>
    </w:p>
    <w:p w14:paraId="0F34CF34" w14:textId="40477090" w:rsidR="00DC7196" w:rsidRDefault="004E7CF6" w:rsidP="007F486C">
      <w:pPr>
        <w:ind w:left="567"/>
        <w:rPr>
          <w:i/>
          <w:iCs/>
        </w:rPr>
      </w:pPr>
      <w:r>
        <w:rPr>
          <w:i/>
          <w:iCs/>
        </w:rPr>
        <w:t>They need to m</w:t>
      </w:r>
      <w:r w:rsidR="005F141D" w:rsidRPr="00410FAD">
        <w:rPr>
          <w:i/>
          <w:iCs/>
        </w:rPr>
        <w:t>eet people where they are and provide meaningful practical support and expectations and don't make people think that they're kind of contribution to knowledge isn't useful or isn't valued</w:t>
      </w:r>
      <w:r w:rsidR="00DC7196">
        <w:rPr>
          <w:i/>
          <w:iCs/>
        </w:rPr>
        <w:t>.</w:t>
      </w:r>
      <w:r w:rsidR="005F141D" w:rsidRPr="00410FAD">
        <w:rPr>
          <w:i/>
          <w:iCs/>
        </w:rPr>
        <w:t xml:space="preserve"> </w:t>
      </w:r>
    </w:p>
    <w:p w14:paraId="10D8943C" w14:textId="2DDB9078" w:rsidR="00BD7E9E" w:rsidRDefault="00BD7E9E" w:rsidP="00BD7E9E">
      <w:r>
        <w:t>The application of th</w:t>
      </w:r>
      <w:r w:rsidR="009E7D41">
        <w:t xml:space="preserve">e evidence </w:t>
      </w:r>
      <w:r>
        <w:t>standards to the assessment of reports submitted to the U</w:t>
      </w:r>
      <w:r w:rsidR="00AD57D6">
        <w:t>ni Connect</w:t>
      </w:r>
      <w:r>
        <w:t xml:space="preserve"> evidence base as part of the </w:t>
      </w:r>
      <w:r w:rsidRPr="00AD57D6">
        <w:t>U</w:t>
      </w:r>
      <w:r w:rsidR="00AD57D6">
        <w:t>ni C</w:t>
      </w:r>
      <w:r w:rsidRPr="00AD57D6">
        <w:t>onnec</w:t>
      </w:r>
      <w:r>
        <w:t xml:space="preserve">t national evaluation work was a </w:t>
      </w:r>
      <w:r w:rsidR="00845201">
        <w:t xml:space="preserve">- </w:t>
      </w:r>
      <w:r>
        <w:t>potentially unhelpful</w:t>
      </w:r>
      <w:r w:rsidR="00845201">
        <w:t xml:space="preserve"> -</w:t>
      </w:r>
      <w:r>
        <w:t xml:space="preserve"> precedent. The national evaluators identified where evaluation designs were judged to be weaker/stronger in relation to </w:t>
      </w:r>
      <w:r w:rsidR="004E197E">
        <w:t>the research</w:t>
      </w:r>
      <w:r>
        <w:t xml:space="preserve"> designs. Whilst from a methodological standpoint some designs generate less reliable evidence on which to base decision-making, weak/strong are pejorative terms that can be damaging to those involved, plus the judgement does not take account of contextual factors/constraints affecting the design choices </w:t>
      </w:r>
      <w:r w:rsidR="004E197E">
        <w:t xml:space="preserve">being </w:t>
      </w:r>
      <w:r>
        <w:t>made.</w:t>
      </w:r>
    </w:p>
    <w:p w14:paraId="5FBB7E43" w14:textId="3BA9328B" w:rsidR="00BD7E9E" w:rsidRPr="00BE764C" w:rsidRDefault="00BD7E9E" w:rsidP="00BD7E9E">
      <w:pPr>
        <w:ind w:left="720"/>
        <w:rPr>
          <w:i/>
          <w:iCs/>
        </w:rPr>
      </w:pPr>
      <w:r w:rsidRPr="00356A3D">
        <w:rPr>
          <w:i/>
          <w:iCs/>
        </w:rPr>
        <w:t>I wasn't always keen on that weak Type 2 and those judgements that CFE used to make on evaluation for the Uni</w:t>
      </w:r>
      <w:r w:rsidR="00D8037D">
        <w:rPr>
          <w:i/>
          <w:iCs/>
        </w:rPr>
        <w:t xml:space="preserve"> C</w:t>
      </w:r>
      <w:r w:rsidRPr="00356A3D">
        <w:rPr>
          <w:i/>
          <w:iCs/>
        </w:rPr>
        <w:t xml:space="preserve">onnect, because it was really disheartening to be told that your evaluation was weak. </w:t>
      </w:r>
      <w:proofErr w:type="gramStart"/>
      <w:r w:rsidRPr="00356A3D">
        <w:rPr>
          <w:i/>
          <w:iCs/>
        </w:rPr>
        <w:t>So</w:t>
      </w:r>
      <w:proofErr w:type="gramEnd"/>
      <w:r w:rsidRPr="00356A3D">
        <w:rPr>
          <w:i/>
          <w:iCs/>
        </w:rPr>
        <w:t xml:space="preserve"> we need to think about language. But it's the idea of you're better doing something and doing it very well th</w:t>
      </w:r>
      <w:r>
        <w:rPr>
          <w:i/>
          <w:iCs/>
        </w:rPr>
        <w:t>a</w:t>
      </w:r>
      <w:r w:rsidRPr="00356A3D">
        <w:rPr>
          <w:i/>
          <w:iCs/>
        </w:rPr>
        <w:t xml:space="preserve">n doing something that's too ambitious and failing. </w:t>
      </w:r>
      <w:r>
        <w:rPr>
          <w:i/>
          <w:iCs/>
        </w:rPr>
        <w:t>An inconclusive RCT will do</w:t>
      </w:r>
      <w:r w:rsidRPr="00356A3D">
        <w:rPr>
          <w:i/>
          <w:iCs/>
        </w:rPr>
        <w:t xml:space="preserve"> nothing. </w:t>
      </w:r>
    </w:p>
    <w:p w14:paraId="700E5CEE" w14:textId="444657CF" w:rsidR="001E14D9" w:rsidRPr="00B263EC" w:rsidRDefault="005D2F74" w:rsidP="001E14D9">
      <w:r>
        <w:t>There are differences between the use of standards as applied as an evaluation planning and development tool for APP evaluation work in general, and as a tool for retrospectively assessing the claims being made from specific impact evaluation reports (although the current standards of evidence tend to be applied for both purposes). For evaluation planning, m</w:t>
      </w:r>
      <w:r w:rsidR="00E6347A">
        <w:t xml:space="preserve">ultiple considerations are at play – not least the aim of the evaluation in question – and the need to </w:t>
      </w:r>
      <w:proofErr w:type="gramStart"/>
      <w:r w:rsidR="00E6347A">
        <w:t>take</w:t>
      </w:r>
      <w:r w:rsidR="001E14D9">
        <w:t xml:space="preserve"> into account</w:t>
      </w:r>
      <w:proofErr w:type="gramEnd"/>
      <w:r w:rsidR="001E14D9">
        <w:t xml:space="preserve"> what </w:t>
      </w:r>
      <w:r w:rsidR="00D6293F">
        <w:t>data</w:t>
      </w:r>
      <w:r w:rsidR="001E14D9">
        <w:t xml:space="preserve"> </w:t>
      </w:r>
      <w:r w:rsidR="00D6293F">
        <w:t xml:space="preserve">is </w:t>
      </w:r>
      <w:r w:rsidR="00CB4A2E">
        <w:t>achievable in the</w:t>
      </w:r>
      <w:r w:rsidR="001E14D9">
        <w:t xml:space="preserve"> context</w:t>
      </w:r>
      <w:r w:rsidR="00AD4E75">
        <w:t xml:space="preserve">. </w:t>
      </w:r>
      <w:proofErr w:type="gramStart"/>
      <w:r w:rsidR="00AD4E75">
        <w:t>Plus</w:t>
      </w:r>
      <w:proofErr w:type="gramEnd"/>
      <w:r w:rsidR="00AD4E75">
        <w:t xml:space="preserve"> there are questi</w:t>
      </w:r>
      <w:r w:rsidR="00126F13">
        <w:t xml:space="preserve">on </w:t>
      </w:r>
      <w:r w:rsidR="00AD4E75">
        <w:t xml:space="preserve">of </w:t>
      </w:r>
      <w:r w:rsidR="001E14D9">
        <w:t>proportiona</w:t>
      </w:r>
      <w:r w:rsidR="00AD4E75">
        <w:t xml:space="preserve">lity. At sector level it would not be </w:t>
      </w:r>
      <w:r w:rsidR="000078A3">
        <w:t>helpful</w:t>
      </w:r>
      <w:r w:rsidR="00AD4E75">
        <w:t xml:space="preserve"> to have an approach that </w:t>
      </w:r>
      <w:r w:rsidR="001E14D9">
        <w:t>potentially discriminat</w:t>
      </w:r>
      <w:r w:rsidR="00AD4E75">
        <w:t xml:space="preserve">es certain types of providers or </w:t>
      </w:r>
      <w:r w:rsidR="001E14D9">
        <w:t>dis-incentive</w:t>
      </w:r>
      <w:r w:rsidR="00AD4E75">
        <w:t>s</w:t>
      </w:r>
      <w:r w:rsidR="001E14D9">
        <w:t xml:space="preserve"> to share evaluations. </w:t>
      </w:r>
      <w:r w:rsidR="00EA0771">
        <w:t xml:space="preserve">The sense </w:t>
      </w:r>
      <w:r w:rsidR="000078A3">
        <w:t>appearing</w:t>
      </w:r>
      <w:r w:rsidR="00EA0771">
        <w:t xml:space="preserve"> from the fieldwork was there </w:t>
      </w:r>
      <w:r w:rsidR="001E14D9">
        <w:t xml:space="preserve">is a demand for all types of evidence which could contain ‘nuggets’ of knowledge about effectiveness </w:t>
      </w:r>
      <w:r w:rsidR="00BA0E1A">
        <w:t xml:space="preserve">in generating impact </w:t>
      </w:r>
      <w:r w:rsidR="001E14D9">
        <w:t xml:space="preserve">(as well as </w:t>
      </w:r>
      <w:r w:rsidR="00BA0E1A">
        <w:t xml:space="preserve">the </w:t>
      </w:r>
      <w:r w:rsidR="001E14D9">
        <w:t>impact</w:t>
      </w:r>
      <w:r w:rsidR="00BA0E1A">
        <w:t xml:space="preserve"> itself</w:t>
      </w:r>
      <w:r w:rsidR="001E14D9">
        <w:t>). Conversations in the field revealed a preference for evaluation that supports practice improvement (i.e. as part of a developmental approach</w:t>
      </w:r>
      <w:r w:rsidR="00723C16">
        <w:t>)</w:t>
      </w:r>
      <w:r w:rsidR="00D816BE">
        <w:t>. This contra</w:t>
      </w:r>
      <w:r w:rsidR="00E12C7E">
        <w:t>s</w:t>
      </w:r>
      <w:r w:rsidR="00D816BE">
        <w:t>ts with the hypothesis-test-decide model of</w:t>
      </w:r>
      <w:r w:rsidR="001E14D9">
        <w:t xml:space="preserve"> impact evaluation where results are </w:t>
      </w:r>
      <w:r w:rsidR="000A48CB">
        <w:t>only</w:t>
      </w:r>
      <w:r w:rsidR="00D816BE">
        <w:t xml:space="preserve"> </w:t>
      </w:r>
      <w:r w:rsidR="001E14D9">
        <w:t>use</w:t>
      </w:r>
      <w:r w:rsidR="00D816BE">
        <w:t>ful</w:t>
      </w:r>
      <w:r w:rsidR="001E14D9">
        <w:t xml:space="preserve"> in </w:t>
      </w:r>
      <w:r w:rsidR="004B7E39">
        <w:t xml:space="preserve">periodic </w:t>
      </w:r>
      <w:r w:rsidR="001E14D9">
        <w:t>decision</w:t>
      </w:r>
      <w:r w:rsidR="000A48CB">
        <w:t>-making</w:t>
      </w:r>
      <w:r w:rsidR="001E14D9">
        <w:t xml:space="preserve"> to </w:t>
      </w:r>
      <w:r w:rsidR="00D816BE">
        <w:t xml:space="preserve">either </w:t>
      </w:r>
      <w:r w:rsidR="001E14D9">
        <w:t>scrap</w:t>
      </w:r>
      <w:r w:rsidR="00D816BE">
        <w:t xml:space="preserve"> or </w:t>
      </w:r>
      <w:r w:rsidR="001E14D9">
        <w:t xml:space="preserve">continue </w:t>
      </w:r>
      <w:r w:rsidR="00D816BE">
        <w:t>r</w:t>
      </w:r>
      <w:r w:rsidR="001E14D9">
        <w:t>ather</w:t>
      </w:r>
      <w:r w:rsidR="004B7E39">
        <w:t xml:space="preserve"> in the ongoing </w:t>
      </w:r>
      <w:r w:rsidR="006418A3">
        <w:t xml:space="preserve">endeavour </w:t>
      </w:r>
      <w:r w:rsidR="001E14D9">
        <w:t>to adapt</w:t>
      </w:r>
      <w:r w:rsidR="006418A3">
        <w:t>/</w:t>
      </w:r>
      <w:r w:rsidR="001E14D9">
        <w:t>improve</w:t>
      </w:r>
      <w:r w:rsidR="00C7284F">
        <w:t xml:space="preserve">. </w:t>
      </w:r>
    </w:p>
    <w:p w14:paraId="115AC895" w14:textId="4106A8F1" w:rsidR="009421B5" w:rsidRDefault="00BD7E9E" w:rsidP="00BD7E9E">
      <w:r>
        <w:t>One can speculate that the higher the perceived risk involved in the process of submitting evidence for external scrutiny the less engaged the sector will be in coming forward with their evidence. In turn this may limit</w:t>
      </w:r>
      <w:r w:rsidR="00B9062F">
        <w:t xml:space="preserve"> </w:t>
      </w:r>
      <w:r>
        <w:t xml:space="preserve">the usefulness of disseminated evaluations – i.e. if they become confined to certain narrow types of evidence. </w:t>
      </w:r>
    </w:p>
    <w:p w14:paraId="62CDABEE" w14:textId="4485D707" w:rsidR="009421B5" w:rsidRDefault="009421B5" w:rsidP="00AE610F">
      <w:pPr>
        <w:pStyle w:val="Heading2"/>
      </w:pPr>
      <w:bookmarkStart w:id="73" w:name="_Toc205504275"/>
      <w:r>
        <w:t xml:space="preserve">Evidence to support </w:t>
      </w:r>
      <w:r w:rsidR="0055095B">
        <w:t>replication of knowledge and transferability of effective pra</w:t>
      </w:r>
      <w:r w:rsidR="00E83843">
        <w:t>c</w:t>
      </w:r>
      <w:r w:rsidR="0055095B">
        <w:t>tice</w:t>
      </w:r>
      <w:bookmarkEnd w:id="73"/>
    </w:p>
    <w:p w14:paraId="3240DA3A" w14:textId="156523AA" w:rsidR="001D3BA5" w:rsidRDefault="00C6136E" w:rsidP="0029780F">
      <w:pPr>
        <w:tabs>
          <w:tab w:val="left" w:pos="426"/>
        </w:tabs>
      </w:pPr>
      <w:r>
        <w:t>W</w:t>
      </w:r>
      <w:r w:rsidR="009421B5">
        <w:t>ithin the</w:t>
      </w:r>
      <w:r w:rsidR="00265E0D">
        <w:t xml:space="preserve"> </w:t>
      </w:r>
      <w:r w:rsidR="009421B5">
        <w:t>sample of cases included in th</w:t>
      </w:r>
      <w:r>
        <w:t>is</w:t>
      </w:r>
      <w:r w:rsidR="009421B5">
        <w:t xml:space="preserve"> research there </w:t>
      </w:r>
      <w:r>
        <w:t xml:space="preserve">were differences in which types of external studies were used to inform practice: </w:t>
      </w:r>
      <w:r w:rsidR="00711568">
        <w:t xml:space="preserve">there </w:t>
      </w:r>
      <w:r w:rsidR="0029780F">
        <w:t>were</w:t>
      </w:r>
      <w:r w:rsidR="00711568">
        <w:t xml:space="preserve"> </w:t>
      </w:r>
      <w:r w:rsidR="00901E9E">
        <w:t>preferences for certain types of information</w:t>
      </w:r>
      <w:r w:rsidR="00711568">
        <w:t xml:space="preserve"> to be considered more valuable for decision making than others</w:t>
      </w:r>
      <w:r w:rsidR="00901E9E">
        <w:t xml:space="preserve"> (e.g. peer review studies and meta reviews over </w:t>
      </w:r>
      <w:proofErr w:type="gramStart"/>
      <w:r w:rsidR="00A02E8E">
        <w:t>practice based</w:t>
      </w:r>
      <w:proofErr w:type="gramEnd"/>
      <w:r w:rsidR="00A02E8E">
        <w:t xml:space="preserve"> outputs). </w:t>
      </w:r>
      <w:r w:rsidR="0029780F">
        <w:t xml:space="preserve">Plus, different types of providers may have varying capacity for evidence collation. </w:t>
      </w:r>
      <w:r w:rsidR="00326138">
        <w:t>Some</w:t>
      </w:r>
      <w:r w:rsidR="001D3BA5">
        <w:t xml:space="preserve"> providers seemed to be most alert to evidence which surfaces the views and lived experiences of students. </w:t>
      </w:r>
    </w:p>
    <w:p w14:paraId="39D27558" w14:textId="3A6962F7" w:rsidR="00B06B2C" w:rsidRPr="00D95B01" w:rsidRDefault="00B06B2C" w:rsidP="00B06B2C">
      <w:pPr>
        <w:ind w:left="567"/>
        <w:rPr>
          <w:i/>
          <w:iCs/>
        </w:rPr>
      </w:pPr>
      <w:r w:rsidRPr="00D95B01">
        <w:rPr>
          <w:i/>
          <w:iCs/>
        </w:rPr>
        <w:t>It’s good that we are seeing examples of diverse methods –and examples</w:t>
      </w:r>
      <w:r>
        <w:rPr>
          <w:i/>
          <w:iCs/>
        </w:rPr>
        <w:t xml:space="preserve"> we can use (for example</w:t>
      </w:r>
      <w:r w:rsidRPr="00D95B01">
        <w:rPr>
          <w:i/>
          <w:iCs/>
        </w:rPr>
        <w:t xml:space="preserve"> appreciative inquiry</w:t>
      </w:r>
      <w:r>
        <w:rPr>
          <w:i/>
          <w:iCs/>
        </w:rPr>
        <w:t xml:space="preserve">). </w:t>
      </w:r>
    </w:p>
    <w:p w14:paraId="73D3F1B6" w14:textId="1024D071" w:rsidR="00BD7E9E" w:rsidRDefault="00326138" w:rsidP="00043398">
      <w:pPr>
        <w:tabs>
          <w:tab w:val="left" w:pos="426"/>
        </w:tabs>
      </w:pPr>
      <w:r>
        <w:t xml:space="preserve">There is an argument to be made that any taxonomies of evidence should be focused on making the evidence base as useful and usable as possible as knowledge that providers can transfer to their own contexts. ‘Hard’ evidence of impact is obviously most valuable in making decisions about ‘what works’ but there was also demand for contextualised learning and understanding ‘how’ and ‘why’ interventions might be effective. </w:t>
      </w:r>
      <w:r w:rsidR="005A0C6F">
        <w:t>E</w:t>
      </w:r>
      <w:r w:rsidR="00BD7E9E">
        <w:t xml:space="preserve">vidence to inform decision-making in the case institutions </w:t>
      </w:r>
      <w:r w:rsidR="005A0C6F">
        <w:t xml:space="preserve">could come from a range of sources </w:t>
      </w:r>
      <w:r w:rsidR="00860024">
        <w:t xml:space="preserve">but providers are </w:t>
      </w:r>
      <w:r w:rsidR="00BD7E9E">
        <w:t xml:space="preserve">seeking to understand the context in which the work took place, </w:t>
      </w:r>
      <w:proofErr w:type="gramStart"/>
      <w:r w:rsidR="00BD7E9E">
        <w:t>in order to</w:t>
      </w:r>
      <w:proofErr w:type="gramEnd"/>
      <w:r w:rsidR="00BD7E9E">
        <w:t xml:space="preserve"> assess the applicability to their own </w:t>
      </w:r>
      <w:proofErr w:type="gramStart"/>
      <w:r w:rsidR="00BD7E9E">
        <w:t>particular context</w:t>
      </w:r>
      <w:proofErr w:type="gramEnd"/>
      <w:r w:rsidR="00BD7E9E">
        <w:t xml:space="preserve"> and institutional needs. </w:t>
      </w:r>
    </w:p>
    <w:p w14:paraId="58AC6889" w14:textId="3B943352" w:rsidR="00C319D6" w:rsidRDefault="00C319D6" w:rsidP="00C319D6">
      <w:pPr>
        <w:ind w:left="567"/>
      </w:pPr>
      <w:r>
        <w:rPr>
          <w:i/>
          <w:iCs/>
        </w:rPr>
        <w:lastRenderedPageBreak/>
        <w:t>T</w:t>
      </w:r>
      <w:r w:rsidRPr="00D95B01">
        <w:rPr>
          <w:i/>
          <w:iCs/>
        </w:rPr>
        <w:t xml:space="preserve">he main criteria </w:t>
      </w:r>
      <w:proofErr w:type="gramStart"/>
      <w:r w:rsidRPr="00D95B01">
        <w:rPr>
          <w:i/>
          <w:iCs/>
        </w:rPr>
        <w:t>is</w:t>
      </w:r>
      <w:proofErr w:type="gramEnd"/>
      <w:r w:rsidRPr="00D95B01">
        <w:rPr>
          <w:i/>
          <w:iCs/>
        </w:rPr>
        <w:t xml:space="preserve"> does it fit/is it narrowly similar in terms of the intervention. Meta-level conclusions are OK but there needs to be an internal consistency argument based on the findings. Usually there’s no opportunity to compare </w:t>
      </w:r>
      <w:r w:rsidR="00E80AB8">
        <w:rPr>
          <w:i/>
          <w:iCs/>
        </w:rPr>
        <w:t>evaluations</w:t>
      </w:r>
      <w:r w:rsidRPr="00D95B01">
        <w:rPr>
          <w:i/>
          <w:iCs/>
        </w:rPr>
        <w:t>.</w:t>
      </w:r>
    </w:p>
    <w:p w14:paraId="302C30E7" w14:textId="1B50239F" w:rsidR="001F6C3F" w:rsidRPr="00C319D6" w:rsidRDefault="001F6C3F" w:rsidP="00C319D6">
      <w:pPr>
        <w:ind w:left="567"/>
      </w:pPr>
      <w:r w:rsidRPr="007A4606">
        <w:rPr>
          <w:i/>
          <w:iCs/>
        </w:rPr>
        <w:t xml:space="preserve">I would say people here are suspicious of external expertise. </w:t>
      </w:r>
      <w:r w:rsidR="00EF4335" w:rsidRPr="007A4606">
        <w:rPr>
          <w:i/>
          <w:iCs/>
        </w:rPr>
        <w:t>The</w:t>
      </w:r>
      <w:r w:rsidRPr="007A4606">
        <w:rPr>
          <w:i/>
          <w:iCs/>
        </w:rPr>
        <w:t xml:space="preserve"> APP </w:t>
      </w:r>
      <w:r w:rsidR="00986E1A">
        <w:rPr>
          <w:i/>
          <w:iCs/>
        </w:rPr>
        <w:t xml:space="preserve">research </w:t>
      </w:r>
      <w:r w:rsidRPr="007A4606">
        <w:rPr>
          <w:i/>
          <w:iCs/>
        </w:rPr>
        <w:t xml:space="preserve">could show other people tried it, </w:t>
      </w:r>
      <w:r w:rsidR="00EF4335" w:rsidRPr="007A4606">
        <w:rPr>
          <w:i/>
          <w:iCs/>
        </w:rPr>
        <w:t>but there</w:t>
      </w:r>
      <w:r w:rsidR="009C25C7">
        <w:rPr>
          <w:i/>
          <w:iCs/>
        </w:rPr>
        <w:t xml:space="preserve">’s </w:t>
      </w:r>
      <w:r w:rsidR="00EF4335" w:rsidRPr="007A4606">
        <w:rPr>
          <w:i/>
          <w:iCs/>
        </w:rPr>
        <w:t xml:space="preserve">a </w:t>
      </w:r>
      <w:r w:rsidRPr="007A4606">
        <w:rPr>
          <w:i/>
          <w:iCs/>
        </w:rPr>
        <w:t>reluct</w:t>
      </w:r>
      <w:r w:rsidR="00EF4335" w:rsidRPr="007A4606">
        <w:rPr>
          <w:i/>
          <w:iCs/>
        </w:rPr>
        <w:t>ance</w:t>
      </w:r>
      <w:r w:rsidRPr="007A4606">
        <w:rPr>
          <w:i/>
          <w:iCs/>
        </w:rPr>
        <w:t xml:space="preserve"> </w:t>
      </w:r>
      <w:r w:rsidR="009C25C7">
        <w:rPr>
          <w:i/>
          <w:iCs/>
        </w:rPr>
        <w:t xml:space="preserve">because </w:t>
      </w:r>
      <w:r w:rsidR="00C90689">
        <w:rPr>
          <w:i/>
          <w:iCs/>
        </w:rPr>
        <w:t>there’</w:t>
      </w:r>
      <w:r w:rsidR="00A134B3">
        <w:rPr>
          <w:i/>
          <w:iCs/>
        </w:rPr>
        <w:t xml:space="preserve">s </w:t>
      </w:r>
      <w:r w:rsidR="00EF4335" w:rsidRPr="007A4606">
        <w:rPr>
          <w:i/>
          <w:iCs/>
        </w:rPr>
        <w:t xml:space="preserve">some </w:t>
      </w:r>
      <w:r w:rsidRPr="007A4606">
        <w:rPr>
          <w:i/>
          <w:iCs/>
        </w:rPr>
        <w:t>unique qualities</w:t>
      </w:r>
      <w:r w:rsidR="00C90689">
        <w:rPr>
          <w:i/>
          <w:iCs/>
        </w:rPr>
        <w:t xml:space="preserve"> here</w:t>
      </w:r>
      <w:r w:rsidRPr="007A4606">
        <w:rPr>
          <w:i/>
          <w:iCs/>
        </w:rPr>
        <w:t>. W</w:t>
      </w:r>
      <w:r w:rsidR="007A4606" w:rsidRPr="007A4606">
        <w:rPr>
          <w:i/>
          <w:iCs/>
        </w:rPr>
        <w:t>e w</w:t>
      </w:r>
      <w:r w:rsidRPr="007A4606">
        <w:rPr>
          <w:i/>
          <w:iCs/>
        </w:rPr>
        <w:t xml:space="preserve">ant to develop contextualised evidence now. Projects </w:t>
      </w:r>
      <w:r w:rsidR="007A4606" w:rsidRPr="007A4606">
        <w:rPr>
          <w:i/>
          <w:iCs/>
        </w:rPr>
        <w:t xml:space="preserve">which </w:t>
      </w:r>
      <w:r w:rsidRPr="007A4606">
        <w:rPr>
          <w:i/>
          <w:iCs/>
        </w:rPr>
        <w:t xml:space="preserve">seemed like a good idea </w:t>
      </w:r>
      <w:r w:rsidR="007A4606" w:rsidRPr="007A4606">
        <w:rPr>
          <w:i/>
          <w:iCs/>
        </w:rPr>
        <w:t xml:space="preserve">were </w:t>
      </w:r>
      <w:r w:rsidRPr="007A4606">
        <w:rPr>
          <w:i/>
          <w:iCs/>
        </w:rPr>
        <w:t xml:space="preserve">not thought through. </w:t>
      </w:r>
      <w:r w:rsidR="007A4606" w:rsidRPr="007A4606">
        <w:rPr>
          <w:i/>
          <w:iCs/>
        </w:rPr>
        <w:t xml:space="preserve">It’s not just </w:t>
      </w:r>
      <w:r w:rsidR="00BD0A40">
        <w:rPr>
          <w:i/>
          <w:iCs/>
        </w:rPr>
        <w:t xml:space="preserve">finding out </w:t>
      </w:r>
      <w:r w:rsidR="007A4606" w:rsidRPr="007A4606">
        <w:rPr>
          <w:i/>
          <w:iCs/>
        </w:rPr>
        <w:t>w</w:t>
      </w:r>
      <w:r w:rsidRPr="007A4606">
        <w:rPr>
          <w:i/>
          <w:iCs/>
        </w:rPr>
        <w:t xml:space="preserve">hy change </w:t>
      </w:r>
      <w:r w:rsidR="00BD0A40">
        <w:rPr>
          <w:i/>
          <w:iCs/>
        </w:rPr>
        <w:t xml:space="preserve">has </w:t>
      </w:r>
      <w:r w:rsidRPr="007A4606">
        <w:rPr>
          <w:i/>
          <w:iCs/>
        </w:rPr>
        <w:t xml:space="preserve">happened – </w:t>
      </w:r>
      <w:r w:rsidR="00BD0A40">
        <w:rPr>
          <w:i/>
          <w:iCs/>
        </w:rPr>
        <w:t xml:space="preserve">but </w:t>
      </w:r>
      <w:r w:rsidRPr="007A4606">
        <w:rPr>
          <w:i/>
          <w:iCs/>
        </w:rPr>
        <w:t>why is it so impactful at</w:t>
      </w:r>
      <w:r w:rsidR="0028611F">
        <w:rPr>
          <w:i/>
          <w:iCs/>
        </w:rPr>
        <w:t xml:space="preserve"> this i</w:t>
      </w:r>
      <w:r w:rsidRPr="007A4606">
        <w:rPr>
          <w:i/>
          <w:iCs/>
        </w:rPr>
        <w:t>nstitution</w:t>
      </w:r>
      <w:r w:rsidR="00A134B3">
        <w:rPr>
          <w:i/>
          <w:iCs/>
        </w:rPr>
        <w:t>?</w:t>
      </w:r>
      <w:r w:rsidRPr="007A4606">
        <w:rPr>
          <w:i/>
          <w:iCs/>
        </w:rPr>
        <w:t xml:space="preserve"> </w:t>
      </w:r>
    </w:p>
    <w:p w14:paraId="2AC4205A" w14:textId="194A009A" w:rsidR="00907DEB" w:rsidRDefault="00131E4D" w:rsidP="00BD7E9E">
      <w:r>
        <w:t>T</w:t>
      </w:r>
      <w:r w:rsidR="00BD7E9E">
        <w:t xml:space="preserve">here are information needs when it comes to supporting the use of standards of evidence to help with the transferability of proven interventions to others in the sector. </w:t>
      </w:r>
      <w:r w:rsidR="008210A3">
        <w:t>Evidence</w:t>
      </w:r>
      <w:r w:rsidR="00DD11FD">
        <w:t xml:space="preserve"> of causal impact is</w:t>
      </w:r>
      <w:r w:rsidR="00AE2E15">
        <w:t xml:space="preserve"> </w:t>
      </w:r>
      <w:r w:rsidR="00DD11FD">
        <w:t>part of this</w:t>
      </w:r>
      <w:r w:rsidR="009A50E1">
        <w:t>,</w:t>
      </w:r>
      <w:r w:rsidR="00DD11FD">
        <w:t xml:space="preserve"> </w:t>
      </w:r>
      <w:r w:rsidR="00AE2E15">
        <w:t xml:space="preserve">but it </w:t>
      </w:r>
      <w:r w:rsidR="00801FB0">
        <w:t xml:space="preserve">needs to include a </w:t>
      </w:r>
      <w:r w:rsidR="005A41F4">
        <w:t>contextualise</w:t>
      </w:r>
      <w:r w:rsidR="009E1E77">
        <w:t>d</w:t>
      </w:r>
      <w:r w:rsidR="005A41F4">
        <w:t xml:space="preserve"> understanding of what </w:t>
      </w:r>
      <w:r w:rsidR="00801FB0">
        <w:t>was delivered</w:t>
      </w:r>
      <w:r w:rsidR="009A50E1">
        <w:t xml:space="preserve">, </w:t>
      </w:r>
      <w:r w:rsidR="00745536">
        <w:t>with whom</w:t>
      </w:r>
      <w:r w:rsidR="009A50E1">
        <w:t xml:space="preserve">, </w:t>
      </w:r>
      <w:r w:rsidR="00F77EDF">
        <w:t>in</w:t>
      </w:r>
      <w:r w:rsidR="002362F9">
        <w:t xml:space="preserve"> what context, and</w:t>
      </w:r>
      <w:r w:rsidR="00801FB0">
        <w:t xml:space="preserve"> how</w:t>
      </w:r>
      <w:r w:rsidR="00745536">
        <w:t xml:space="preserve">. These </w:t>
      </w:r>
      <w:r w:rsidR="00BD7E9E">
        <w:t>question</w:t>
      </w:r>
      <w:r w:rsidR="00745536">
        <w:t>s</w:t>
      </w:r>
      <w:r w:rsidR="00BD7E9E">
        <w:t xml:space="preserve"> </w:t>
      </w:r>
      <w:proofErr w:type="gramStart"/>
      <w:r w:rsidR="00BD7E9E">
        <w:t>become</w:t>
      </w:r>
      <w:r w:rsidR="00CF3A35">
        <w:t>s</w:t>
      </w:r>
      <w:proofErr w:type="gramEnd"/>
      <w:r w:rsidR="00BD7E9E">
        <w:t xml:space="preserve"> </w:t>
      </w:r>
      <w:r w:rsidR="00907DEB">
        <w:t xml:space="preserve">particularly </w:t>
      </w:r>
      <w:r w:rsidR="00BD7E9E">
        <w:t xml:space="preserve">crucial when thinking about practical transferability. </w:t>
      </w:r>
    </w:p>
    <w:p w14:paraId="138A4B96" w14:textId="3931B7FE" w:rsidR="00BD7E9E" w:rsidRDefault="00907DEB" w:rsidP="00BD7E9E">
      <w:r>
        <w:t xml:space="preserve">It is interesting to note that other standards frameworks which aim to support replicability go further in layering evidence types to continue to build the case for the positive impact potential of the intervention in question. </w:t>
      </w:r>
      <w:r w:rsidR="00BD7E9E">
        <w:t xml:space="preserve">For example, Levels 4 and 5 of the NESTA Standards of Evidence </w:t>
      </w:r>
      <w:r w:rsidR="00F278BC">
        <w:t xml:space="preserve">for Impact Investing </w:t>
      </w:r>
      <w:r w:rsidR="00BD7E9E">
        <w:t>are concerned with building independent replication evaluations of the conclusions to confirm the findings, and the development of manuals, systems and procedures to ensure consistent replication and positive impact.</w:t>
      </w:r>
      <w:r w:rsidR="00BD7E9E">
        <w:rPr>
          <w:rStyle w:val="FootnoteReference"/>
        </w:rPr>
        <w:footnoteReference w:id="15"/>
      </w:r>
      <w:r w:rsidR="00BD7E9E">
        <w:t xml:space="preserve"> This approach is designed to balance the need for evidence with the need for </w:t>
      </w:r>
      <w:r w:rsidR="00810222">
        <w:t xml:space="preserve">the transfer of </w:t>
      </w:r>
      <w:r w:rsidR="00BD7E9E">
        <w:t xml:space="preserve">innovation. It highlights that decision-makers are concerned to understand the conditions for transferability and the delivery aspects involved in proven interventions, as well as the results. </w:t>
      </w:r>
      <w:r w:rsidR="00F278BC">
        <w:t xml:space="preserve">The Standards of Evidence for Impact Investing as also explicit about the </w:t>
      </w:r>
      <w:r w:rsidR="000C6C40">
        <w:t>role of external evaluation/verification of the results</w:t>
      </w:r>
      <w:r w:rsidR="00A57CB2">
        <w:t xml:space="preserve">, because this can add a further dimension in terms of reliability of </w:t>
      </w:r>
      <w:r w:rsidR="00C82255">
        <w:t xml:space="preserve">the </w:t>
      </w:r>
      <w:r w:rsidR="00A57CB2">
        <w:t xml:space="preserve">results </w:t>
      </w:r>
      <w:r w:rsidR="000C6C40">
        <w:t xml:space="preserve">of evaluation. </w:t>
      </w:r>
    </w:p>
    <w:p w14:paraId="5EBC1167" w14:textId="4DF117D6" w:rsidR="00E13C16" w:rsidRDefault="004A00B6" w:rsidP="00AB4665">
      <w:pPr>
        <w:pStyle w:val="Heading1"/>
      </w:pPr>
      <w:bookmarkStart w:id="74" w:name="_Toc205504276"/>
      <w:r>
        <w:t>CONCLUSIONS</w:t>
      </w:r>
      <w:r w:rsidR="00BE01A3">
        <w:t xml:space="preserve"> AND RECOMMENDATIONS</w:t>
      </w:r>
      <w:bookmarkEnd w:id="74"/>
    </w:p>
    <w:p w14:paraId="101BF725" w14:textId="2DEC8F2B" w:rsidR="00E13C16" w:rsidRDefault="004A00B6" w:rsidP="00AE610F">
      <w:pPr>
        <w:pStyle w:val="Heading2"/>
      </w:pPr>
      <w:bookmarkStart w:id="75" w:name="_Toc205504277"/>
      <w:r>
        <w:t>Conclusions</w:t>
      </w:r>
      <w:bookmarkEnd w:id="75"/>
    </w:p>
    <w:p w14:paraId="553CD2D0" w14:textId="2AA98BCE" w:rsidR="00EC017B" w:rsidRPr="00C50440" w:rsidRDefault="004A00B6" w:rsidP="004A00B6">
      <w:pPr>
        <w:pStyle w:val="Heading3"/>
      </w:pPr>
      <w:bookmarkStart w:id="76" w:name="_Toc205033905"/>
      <w:bookmarkStart w:id="77" w:name="_Toc205498264"/>
      <w:bookmarkStart w:id="78" w:name="_Toc205504278"/>
      <w:r>
        <w:t xml:space="preserve">6.1.1 </w:t>
      </w:r>
      <w:r w:rsidR="00EC017B" w:rsidRPr="00C50440">
        <w:t>Implications of the standards of evidence</w:t>
      </w:r>
      <w:bookmarkEnd w:id="76"/>
      <w:bookmarkEnd w:id="77"/>
      <w:bookmarkEnd w:id="78"/>
    </w:p>
    <w:p w14:paraId="4FA2E340" w14:textId="6247930A" w:rsidR="00E500CA" w:rsidRDefault="00AF79C0" w:rsidP="00042E52">
      <w:proofErr w:type="gramStart"/>
      <w:r>
        <w:t>Overall</w:t>
      </w:r>
      <w:proofErr w:type="gramEnd"/>
      <w:r>
        <w:t xml:space="preserve"> there was a sense that the standards of evidence have positive benefits</w:t>
      </w:r>
      <w:r w:rsidR="00C22682">
        <w:t xml:space="preserve">. </w:t>
      </w:r>
      <w:r w:rsidR="004578C6">
        <w:t>Internally, t</w:t>
      </w:r>
      <w:r w:rsidR="00C22682">
        <w:t xml:space="preserve">hey </w:t>
      </w:r>
      <w:r>
        <w:t>support development of evaluation strateg</w:t>
      </w:r>
      <w:r w:rsidR="00C22682">
        <w:t>ies</w:t>
      </w:r>
      <w:r>
        <w:t>; decision making and approaches to doing evaluation</w:t>
      </w:r>
      <w:r w:rsidR="004578C6">
        <w:t>. Externally they are helpful in</w:t>
      </w:r>
      <w:r>
        <w:t xml:space="preserve"> communication to the regulator and sector colleagues. </w:t>
      </w:r>
      <w:r w:rsidR="00E500CA">
        <w:t xml:space="preserve">The standards have played a role in evaluation capability building </w:t>
      </w:r>
      <w:r w:rsidR="004578C6">
        <w:t>and</w:t>
      </w:r>
      <w:r w:rsidR="00042E52">
        <w:t xml:space="preserve"> have built </w:t>
      </w:r>
      <w:r w:rsidR="00E500CA">
        <w:t>understanding of what counts as useful evidence for decision-making</w:t>
      </w:r>
      <w:r w:rsidR="00042E52">
        <w:t xml:space="preserve">, </w:t>
      </w:r>
      <w:r w:rsidR="00E500CA">
        <w:t>push</w:t>
      </w:r>
      <w:r w:rsidR="00C44BE8">
        <w:t>ing</w:t>
      </w:r>
      <w:r w:rsidR="00E500CA">
        <w:t xml:space="preserve"> providers to implement increasingly robust approaches to assessing the effect of interventions and greater surety that interventions are making a difference. The standards support the </w:t>
      </w:r>
      <w:proofErr w:type="gramStart"/>
      <w:r w:rsidR="00E500CA">
        <w:t>decision making</w:t>
      </w:r>
      <w:proofErr w:type="gramEnd"/>
      <w:r w:rsidR="00E500CA">
        <w:t xml:space="preserve"> processes at project, programme and institutional levels. They support planning and have contributed to good practice approaches particularly in relation to building the rationale for interventions and obtaining clarity of outcomes and impacts using theory of change.  </w:t>
      </w:r>
    </w:p>
    <w:p w14:paraId="53789E40" w14:textId="16153CCB" w:rsidR="00103507" w:rsidRDefault="00AB4665" w:rsidP="00AB4665">
      <w:r>
        <w:t>The standards provide a ‘common language’ and a ‘touchstone’ for the sector on evaluation. However, there is also a risk that conceptualisation of the standards tends to be unsophisticated, which may limit the extent to which they can be practically useful for the purpose of further impact evidence strengthening across the sector. There is a danger of the standards becoming diluted and a ’shorthand’ for a methodological distinction between more quantitative or more qualitative approaches to impact evaluation and evaluation in general.</w:t>
      </w:r>
    </w:p>
    <w:p w14:paraId="7C889207" w14:textId="135B92E8" w:rsidR="006F35AD" w:rsidRPr="004D7BA7" w:rsidRDefault="00AB4665" w:rsidP="004A00B6">
      <w:pPr>
        <w:pStyle w:val="Heading3"/>
      </w:pPr>
      <w:bookmarkStart w:id="79" w:name="_Toc205033906"/>
      <w:bookmarkStart w:id="80" w:name="_Toc205498265"/>
      <w:bookmarkStart w:id="81" w:name="_Toc205504279"/>
      <w:r>
        <w:t>6</w:t>
      </w:r>
      <w:r w:rsidR="004A00B6">
        <w:t xml:space="preserve">.1.2 </w:t>
      </w:r>
      <w:r w:rsidR="006F35AD" w:rsidRPr="004D7BA7">
        <w:t>The Types/Levels Debate</w:t>
      </w:r>
      <w:bookmarkEnd w:id="79"/>
      <w:bookmarkEnd w:id="80"/>
      <w:bookmarkEnd w:id="81"/>
    </w:p>
    <w:p w14:paraId="010ED85C" w14:textId="7B964C5E" w:rsidR="00B351C9" w:rsidRDefault="00B351C9" w:rsidP="00B351C9">
      <w:r>
        <w:t>There has been an ongoing tension regarding whether a hierarchy of methods is implied in the standards: notably whether RCTs should be considered a ‘gold standard’ for</w:t>
      </w:r>
      <w:r w:rsidR="00AA5167">
        <w:t xml:space="preserve"> widening participation</w:t>
      </w:r>
      <w:r>
        <w:t xml:space="preserve"> evaluations. Experimental methods are clearly a strong design when it comes to proving causality but </w:t>
      </w:r>
      <w:r w:rsidR="00E30A07">
        <w:t>are</w:t>
      </w:r>
      <w:r w:rsidR="00292418">
        <w:t xml:space="preserve"> less useful in explaining the reasons for a particular outcome</w:t>
      </w:r>
      <w:r w:rsidR="00154165">
        <w:t xml:space="preserve">. </w:t>
      </w:r>
      <w:r w:rsidR="002B3291">
        <w:t xml:space="preserve">Complementary </w:t>
      </w:r>
      <w:r>
        <w:t>types of evidence provide very valuable knowledge to inform decision making on APP interventions in practice</w:t>
      </w:r>
      <w:r w:rsidR="00E30A07">
        <w:t>. In addition</w:t>
      </w:r>
      <w:r w:rsidR="00492541">
        <w:t xml:space="preserve">, </w:t>
      </w:r>
      <w:r w:rsidR="00E30A07">
        <w:t>there is</w:t>
      </w:r>
      <w:r>
        <w:t xml:space="preserve"> a range of ways to increase the usefulness and validity all types of evidence to support decisions, as part of a proportionate approach. </w:t>
      </w:r>
    </w:p>
    <w:p w14:paraId="318F0396" w14:textId="384A80ED" w:rsidR="00B351C9" w:rsidRDefault="00AB0A38" w:rsidP="00B351C9">
      <w:r>
        <w:t>T</w:t>
      </w:r>
      <w:r w:rsidR="00B351C9">
        <w:t xml:space="preserve">he evidence standards </w:t>
      </w:r>
      <w:proofErr w:type="gramStart"/>
      <w:r w:rsidR="00B351C9">
        <w:t>encourages</w:t>
      </w:r>
      <w:proofErr w:type="gramEnd"/>
      <w:r w:rsidR="00B351C9">
        <w:t xml:space="preserve"> providers to </w:t>
      </w:r>
      <w:r w:rsidR="007E604E">
        <w:t xml:space="preserve">use </w:t>
      </w:r>
      <w:r w:rsidR="00B351C9">
        <w:t xml:space="preserve">increasingly robust </w:t>
      </w:r>
      <w:r w:rsidR="00FD6892">
        <w:t xml:space="preserve">methods of generating </w:t>
      </w:r>
      <w:r w:rsidR="00B351C9">
        <w:t>evidence</w:t>
      </w:r>
      <w:r w:rsidR="00FD6892">
        <w:t xml:space="preserve"> of impact</w:t>
      </w:r>
      <w:r w:rsidR="00B351C9">
        <w:t xml:space="preserve">, but the strength of </w:t>
      </w:r>
      <w:r w:rsidR="00623D3E">
        <w:t xml:space="preserve">causal </w:t>
      </w:r>
      <w:r w:rsidR="00B351C9">
        <w:t>evidence required for different types of decisions is a consideration</w:t>
      </w:r>
      <w:r w:rsidR="00A2155F">
        <w:t xml:space="preserve"> for what </w:t>
      </w:r>
      <w:r w:rsidR="00A2155F">
        <w:lastRenderedPageBreak/>
        <w:t>type of evidence is most useful</w:t>
      </w:r>
      <w:r w:rsidR="00B351C9">
        <w:t xml:space="preserve">. </w:t>
      </w:r>
      <w:r w:rsidR="00B351C9" w:rsidRPr="00623D3E">
        <w:t>Impact</w:t>
      </w:r>
      <w:r w:rsidR="00B351C9">
        <w:t xml:space="preserve"> evaluation complements other types of evaluation in evidence-based decision making and is </w:t>
      </w:r>
      <w:r w:rsidR="00623D3E">
        <w:t xml:space="preserve">being </w:t>
      </w:r>
      <w:r w:rsidR="00B351C9">
        <w:t xml:space="preserve">used in a formative and summative sense as part of ongoing cycles of reflection and review. </w:t>
      </w:r>
    </w:p>
    <w:p w14:paraId="568953E1" w14:textId="0B48A357" w:rsidR="00B351C9" w:rsidRDefault="00B351C9" w:rsidP="00B351C9">
      <w:r>
        <w:t>Evidence that is layered over time to build the knowledge and move to successive levels of surety within each cycle is desirable and an opportunity to progress to stronger forms of evidence as the work continues and the amount of investment of APP resource grows. There is a tension in the current standards in the best way to move to stronger</w:t>
      </w:r>
      <w:r w:rsidR="00CE7E9F">
        <w:t xml:space="preserve"> evidence of causality. </w:t>
      </w:r>
      <w:r>
        <w:t>The most expensive interventions warrant the strongest type of evidence, but these tend to be more complex and beyond the scope of RCTs which are perhaps best applied to discrete activities and their direct outcomes.</w:t>
      </w:r>
    </w:p>
    <w:p w14:paraId="6D63C187" w14:textId="06F00C79" w:rsidR="00B351C9" w:rsidRDefault="00B351C9" w:rsidP="00B351C9">
      <w:r>
        <w:t xml:space="preserve">Providers are looking to quasi-experimental approaches, especially where these are supported by developments in data possibilities (e.g. tracking systems and student records systems). </w:t>
      </w:r>
      <w:proofErr w:type="gramStart"/>
      <w:r>
        <w:t>Plus</w:t>
      </w:r>
      <w:proofErr w:type="gramEnd"/>
      <w:r>
        <w:t xml:space="preserve"> there is an interest in using theory-</w:t>
      </w:r>
      <w:r w:rsidR="00BC6566">
        <w:t>based</w:t>
      </w:r>
      <w:r>
        <w:t xml:space="preserve"> evaluation and case-orientated methodologies.</w:t>
      </w:r>
    </w:p>
    <w:p w14:paraId="3F5ABC79" w14:textId="50E47FCF" w:rsidR="00B351C9" w:rsidRDefault="00B351C9" w:rsidP="00B351C9">
      <w:r>
        <w:t>It may not benefit continued efforts to improve the data and evidence base for identifying an impact if the strongest types of approaches are conceptualised in a purely experimental sense, without consideration of alternative interpretations, because experimentation in the strictest sense is seen as risky and only relevant for access and participation work in some exceptional cases.</w:t>
      </w:r>
    </w:p>
    <w:p w14:paraId="69C644CF" w14:textId="7A9A750A" w:rsidR="00E13C16" w:rsidRDefault="004A00B6" w:rsidP="004A00B6">
      <w:pPr>
        <w:pStyle w:val="Heading3"/>
      </w:pPr>
      <w:bookmarkStart w:id="82" w:name="_Toc205033907"/>
      <w:bookmarkStart w:id="83" w:name="_Toc205498266"/>
      <w:bookmarkStart w:id="84" w:name="_Toc205504280"/>
      <w:r>
        <w:t xml:space="preserve">6.1.3 </w:t>
      </w:r>
      <w:r w:rsidR="00D85556">
        <w:t>Evolving context for impact evaluation</w:t>
      </w:r>
      <w:bookmarkEnd w:id="82"/>
      <w:bookmarkEnd w:id="83"/>
      <w:bookmarkEnd w:id="84"/>
    </w:p>
    <w:p w14:paraId="601E55D4" w14:textId="0FA4F35A" w:rsidR="0073072E" w:rsidRDefault="00131F71" w:rsidP="00131F71">
      <w:r>
        <w:t xml:space="preserve">Multiple factors were identified in the research as current considerations for access and participation evaluations and these have implications </w:t>
      </w:r>
      <w:r w:rsidR="009C5021">
        <w:t>for</w:t>
      </w:r>
      <w:r>
        <w:t xml:space="preserve"> evaluation designs. </w:t>
      </w:r>
      <w:r w:rsidR="009C5021">
        <w:t xml:space="preserve">There are implications for the standard in terms of: </w:t>
      </w:r>
      <w:proofErr w:type="spellStart"/>
      <w:r w:rsidR="009C5021">
        <w:t>i</w:t>
      </w:r>
      <w:proofErr w:type="spellEnd"/>
      <w:r w:rsidR="009C5021">
        <w:t>) constraints and opportunities for certain types of evaluation; and ii) the kind of impact evidence that providers are looking for to identify impact and to underpin evidence-informed decisions.</w:t>
      </w:r>
    </w:p>
    <w:p w14:paraId="5D20AC21" w14:textId="77777777" w:rsidR="00AB4665" w:rsidRDefault="00AB4665" w:rsidP="00AB4665">
      <w:r>
        <w:t xml:space="preserve">Current trends include: </w:t>
      </w:r>
    </w:p>
    <w:p w14:paraId="08F16DB5" w14:textId="77777777" w:rsidR="00AB4665" w:rsidRDefault="00AB4665" w:rsidP="00AB4665">
      <w:pPr>
        <w:pStyle w:val="Bullet"/>
        <w:numPr>
          <w:ilvl w:val="0"/>
          <w:numId w:val="46"/>
        </w:numPr>
        <w:rPr>
          <w:i w:val="0"/>
          <w:iCs w:val="0"/>
        </w:rPr>
      </w:pPr>
      <w:r w:rsidRPr="004303DB">
        <w:t>Longer reporting timescales</w:t>
      </w:r>
      <w:r w:rsidRPr="004303DB">
        <w:br/>
      </w:r>
      <w:r w:rsidRPr="00AB4665">
        <w:rPr>
          <w:i w:val="0"/>
          <w:iCs w:val="0"/>
        </w:rPr>
        <w:t xml:space="preserve">The APPs allow for a longer reporting timescales which is an opportunity to engage in more longitudinal evaluations (especially as some outcomes take some time to show). The Type 3 standard relies on controlling for extraneous variables which is more challenging in complex social settings and when the impact is farther away in time from the intervention. The programme may have more control over short term outcomes, but to be impactful the relationship with the </w:t>
      </w:r>
      <w:proofErr w:type="gramStart"/>
      <w:r w:rsidRPr="00AB4665">
        <w:rPr>
          <w:i w:val="0"/>
          <w:iCs w:val="0"/>
        </w:rPr>
        <w:t>long term</w:t>
      </w:r>
      <w:proofErr w:type="gramEnd"/>
      <w:r w:rsidRPr="00AB4665">
        <w:rPr>
          <w:i w:val="0"/>
          <w:iCs w:val="0"/>
        </w:rPr>
        <w:t xml:space="preserve"> outcomes </w:t>
      </w:r>
      <w:proofErr w:type="gramStart"/>
      <w:r w:rsidRPr="00AB4665">
        <w:rPr>
          <w:i w:val="0"/>
          <w:iCs w:val="0"/>
        </w:rPr>
        <w:t>needs</w:t>
      </w:r>
      <w:proofErr w:type="gramEnd"/>
      <w:r w:rsidRPr="00AB4665">
        <w:rPr>
          <w:i w:val="0"/>
          <w:iCs w:val="0"/>
        </w:rPr>
        <w:t xml:space="preserve"> to be assessed.</w:t>
      </w:r>
    </w:p>
    <w:p w14:paraId="69EB33AC" w14:textId="77777777" w:rsidR="00AB4665" w:rsidRDefault="00AB4665" w:rsidP="00AB4665">
      <w:pPr>
        <w:pStyle w:val="Bullet"/>
        <w:numPr>
          <w:ilvl w:val="0"/>
          <w:numId w:val="46"/>
        </w:numPr>
        <w:rPr>
          <w:i w:val="0"/>
          <w:iCs w:val="0"/>
        </w:rPr>
      </w:pPr>
      <w:r w:rsidRPr="00AB4665">
        <w:t xml:space="preserve">Increasing concern for student involvement and </w:t>
      </w:r>
      <w:proofErr w:type="spellStart"/>
      <w:r w:rsidRPr="00AB4665">
        <w:t>OfS</w:t>
      </w:r>
      <w:proofErr w:type="spellEnd"/>
      <w:r w:rsidRPr="00AB4665">
        <w:t xml:space="preserve"> requirement for student views on APP</w:t>
      </w:r>
      <w:r w:rsidRPr="00AB4665">
        <w:br/>
      </w:r>
      <w:r w:rsidRPr="00AB4665">
        <w:rPr>
          <w:i w:val="0"/>
          <w:iCs w:val="0"/>
        </w:rPr>
        <w:t xml:space="preserve">The standards focus on outputs and impacts which are defined in advance and turned into indicators and measures of impact, with an assumption that the goals chosen are ‘right’. This interpretation is being challenged. Qualitative research is increasingly important to higher education delivery to ensure students have a positive experience. Co-creation activities are becoming more prominent to enable meaningful student voice with a concern to surface and learn from </w:t>
      </w:r>
      <w:proofErr w:type="gramStart"/>
      <w:r w:rsidRPr="00AB4665">
        <w:rPr>
          <w:i w:val="0"/>
          <w:iCs w:val="0"/>
        </w:rPr>
        <w:t>students’</w:t>
      </w:r>
      <w:proofErr w:type="gramEnd"/>
      <w:r w:rsidRPr="00AB4665">
        <w:rPr>
          <w:i w:val="0"/>
          <w:iCs w:val="0"/>
        </w:rPr>
        <w:t xml:space="preserve"> lived experience </w:t>
      </w:r>
      <w:proofErr w:type="gramStart"/>
      <w:r w:rsidRPr="00AB4665">
        <w:rPr>
          <w:i w:val="0"/>
          <w:iCs w:val="0"/>
        </w:rPr>
        <w:t>in order to</w:t>
      </w:r>
      <w:proofErr w:type="gramEnd"/>
      <w:r w:rsidRPr="00AB4665">
        <w:rPr>
          <w:i w:val="0"/>
          <w:iCs w:val="0"/>
        </w:rPr>
        <w:t xml:space="preserve"> understand what counts as effective. </w:t>
      </w:r>
    </w:p>
    <w:p w14:paraId="3EC44007" w14:textId="19CA081C" w:rsidR="00AB4665" w:rsidRPr="00AB4665" w:rsidRDefault="00AB4665" w:rsidP="00AB4665">
      <w:pPr>
        <w:pStyle w:val="Bullet"/>
        <w:numPr>
          <w:ilvl w:val="0"/>
          <w:numId w:val="46"/>
        </w:numPr>
        <w:rPr>
          <w:i w:val="0"/>
          <w:iCs w:val="0"/>
        </w:rPr>
      </w:pPr>
      <w:r w:rsidRPr="005F3744">
        <w:t>Organisational/structural changes and the Whole Provider Approach</w:t>
      </w:r>
      <w:r w:rsidRPr="005F3744">
        <w:br/>
      </w:r>
      <w:r w:rsidRPr="00AB4665">
        <w:rPr>
          <w:i w:val="0"/>
          <w:iCs w:val="0"/>
        </w:rPr>
        <w:t xml:space="preserve">APP activities are becoming more embedded in the </w:t>
      </w:r>
      <w:proofErr w:type="gramStart"/>
      <w:r w:rsidRPr="00AB4665">
        <w:rPr>
          <w:i w:val="0"/>
          <w:iCs w:val="0"/>
        </w:rPr>
        <w:t>day to day</w:t>
      </w:r>
      <w:proofErr w:type="gramEnd"/>
      <w:r w:rsidRPr="00AB4665">
        <w:rPr>
          <w:i w:val="0"/>
          <w:iCs w:val="0"/>
        </w:rPr>
        <w:t xml:space="preserve"> activities of higher education. Intervention strategies may include interventions designed to bring about structural changes at the organisational level. Organisational changes may be difficult to capture in a quantitative sense. There are relationships between APP interventions and other strategies taking place at different levels: concerns for effectiveness come from different audiences and the impacts of specific interventions become harder to isolate. </w:t>
      </w:r>
    </w:p>
    <w:p w14:paraId="25714995" w14:textId="16FC8344" w:rsidR="00292556" w:rsidRPr="00AB4665" w:rsidRDefault="00F863A7" w:rsidP="00AB4665">
      <w:pPr>
        <w:pStyle w:val="Bullet"/>
        <w:rPr>
          <w:i w:val="0"/>
          <w:iCs w:val="0"/>
        </w:rPr>
      </w:pPr>
      <w:r w:rsidRPr="005F3744">
        <w:t xml:space="preserve">Increasing provider diversity </w:t>
      </w:r>
      <w:r w:rsidRPr="005F3744">
        <w:br/>
      </w:r>
      <w:r w:rsidR="00292556" w:rsidRPr="00AB4665">
        <w:rPr>
          <w:i w:val="0"/>
          <w:iCs w:val="0"/>
        </w:rPr>
        <w:t xml:space="preserve">Size of cohort makes a key difference to the types of data that are available on which to make conclusions. The delivery context needs to be </w:t>
      </w:r>
      <w:proofErr w:type="gramStart"/>
      <w:r w:rsidR="00292556" w:rsidRPr="00AB4665">
        <w:rPr>
          <w:i w:val="0"/>
          <w:iCs w:val="0"/>
        </w:rPr>
        <w:t>taken into account</w:t>
      </w:r>
      <w:proofErr w:type="gramEnd"/>
      <w:r w:rsidR="00292556" w:rsidRPr="00AB4665">
        <w:rPr>
          <w:i w:val="0"/>
          <w:iCs w:val="0"/>
        </w:rPr>
        <w:t xml:space="preserve"> as well, for example, whether coordination of evidence from different teams, sites/campus will be part of the picture. This can set up the conditions for comparative evaluation but also makes controlling the delivery more of an issue, and points to the need for contextualised approaches to evaluating. </w:t>
      </w:r>
    </w:p>
    <w:p w14:paraId="0933DB8A" w14:textId="1A3D8083" w:rsidR="00292556" w:rsidRPr="00AB4665" w:rsidRDefault="00C224A6" w:rsidP="00AB4665">
      <w:pPr>
        <w:pStyle w:val="Bullet"/>
        <w:rPr>
          <w:i w:val="0"/>
          <w:iCs w:val="0"/>
        </w:rPr>
      </w:pPr>
      <w:r w:rsidRPr="00C224A6">
        <w:t>Increasing focus on structural</w:t>
      </w:r>
      <w:r w:rsidR="00292556" w:rsidRPr="00C224A6">
        <w:t xml:space="preserve"> outcomes and impacts</w:t>
      </w:r>
      <w:r w:rsidR="00292556" w:rsidRPr="00C224A6">
        <w:tab/>
      </w:r>
      <w:r w:rsidR="005F3744" w:rsidRPr="00C224A6">
        <w:br/>
      </w:r>
      <w:r w:rsidR="00292556" w:rsidRPr="00AB4665">
        <w:rPr>
          <w:i w:val="0"/>
          <w:iCs w:val="0"/>
        </w:rPr>
        <w:t xml:space="preserve">The types of interventions go beyond those aiming for direct effect on a cohort of students/participants. The strategies encompass outcomes for staff and organisations, the outcomes of which can be harder to capture in a quantitative sense. APP Intervention Strategies draw together ways of tackling the same problem from different directions </w:t>
      </w:r>
      <w:proofErr w:type="gramStart"/>
      <w:r w:rsidR="00292556" w:rsidRPr="00AB4665">
        <w:rPr>
          <w:i w:val="0"/>
          <w:iCs w:val="0"/>
        </w:rPr>
        <w:t>in order to</w:t>
      </w:r>
      <w:proofErr w:type="gramEnd"/>
      <w:r w:rsidR="00292556" w:rsidRPr="00AB4665">
        <w:rPr>
          <w:i w:val="0"/>
          <w:iCs w:val="0"/>
        </w:rPr>
        <w:t xml:space="preserve"> maximise the overall impact. Interventions increasingly need to be looked at collectively.</w:t>
      </w:r>
    </w:p>
    <w:p w14:paraId="55BAB2B3" w14:textId="3E10B9E9" w:rsidR="00942C62" w:rsidRDefault="00531A0F" w:rsidP="00942C62">
      <w:pPr>
        <w:pStyle w:val="AHESubheadingstyle4"/>
      </w:pPr>
      <w:r>
        <w:lastRenderedPageBreak/>
        <w:t xml:space="preserve">The standards are based on a cause-and-effect approach to evaluating impact. They assume that impact can be attributed in a direct sense whereas intervention strategies are increasingly complex and embedded and part of the contribution to an overall goal (e.g. eliminating gaps). </w:t>
      </w:r>
      <w:r w:rsidR="00CC7802">
        <w:t>This bec</w:t>
      </w:r>
      <w:r w:rsidR="0061570B">
        <w:t>omes</w:t>
      </w:r>
      <w:r w:rsidR="00CC7802">
        <w:t xml:space="preserve"> increasingly problematic in the </w:t>
      </w:r>
      <w:r>
        <w:t xml:space="preserve">current climate </w:t>
      </w:r>
      <w:r w:rsidR="00CC7802">
        <w:t xml:space="preserve">where </w:t>
      </w:r>
      <w:r w:rsidR="0051626C">
        <w:t>providers are grappling</w:t>
      </w:r>
      <w:r w:rsidR="008769C1">
        <w:t xml:space="preserve"> </w:t>
      </w:r>
      <w:r w:rsidR="0061570B">
        <w:t xml:space="preserve">with </w:t>
      </w:r>
      <w:r>
        <w:t>how to</w:t>
      </w:r>
      <w:r w:rsidR="008769C1">
        <w:t>:</w:t>
      </w:r>
      <w:r>
        <w:t xml:space="preserve"> deal with evaluation of complex programmes; get clarity on the purpose of impact evaluation knowledge development; link up the short, medium and long term impacts; </w:t>
      </w:r>
      <w:r w:rsidR="008769C1">
        <w:t xml:space="preserve">use </w:t>
      </w:r>
      <w:r>
        <w:t>methods appropriate to the context; understand the best way to deal with the contextual factors in an evaluation; emb</w:t>
      </w:r>
      <w:r w:rsidR="008769C1">
        <w:t>ed</w:t>
      </w:r>
      <w:r>
        <w:t xml:space="preserve"> evaluation across whole systems; and involve students </w:t>
      </w:r>
      <w:r w:rsidR="008769C1">
        <w:t xml:space="preserve">appropriately </w:t>
      </w:r>
      <w:r>
        <w:t xml:space="preserve">in evaluations. </w:t>
      </w:r>
    </w:p>
    <w:p w14:paraId="17A7023B" w14:textId="20E12EA0" w:rsidR="005F0946" w:rsidRDefault="00E31574" w:rsidP="00E31574">
      <w:pPr>
        <w:pStyle w:val="AHESubheadingstyle4"/>
      </w:pPr>
      <w:r>
        <w:t>There is a danger that the standards of evidence will become unfit for purpose unless they can support providers in the collection and use of evidence in the evolving higher education context. There are key question</w:t>
      </w:r>
      <w:r w:rsidR="0061570B">
        <w:t>s</w:t>
      </w:r>
      <w:r>
        <w:t xml:space="preserve"> to be addressed regarding: what counts as impact (contribution as well as attribution); the types of impact evidence that </w:t>
      </w:r>
      <w:r w:rsidR="0061570B">
        <w:t>are</w:t>
      </w:r>
      <w:r>
        <w:t xml:space="preserve"> most useful to support institutional decision-making; and how impact evidence is used alongside other types of evidence as part of cycles of reflection and review.  </w:t>
      </w:r>
      <w:r w:rsidR="00942C62">
        <w:t>Overall</w:t>
      </w:r>
      <w:r w:rsidR="0061570B">
        <w:t>,</w:t>
      </w:r>
      <w:r w:rsidR="00942C62">
        <w:t xml:space="preserve"> there was a consensus that the standards will need to adapt to retain their role in transparency of decision-making. </w:t>
      </w:r>
    </w:p>
    <w:p w14:paraId="11721ADA" w14:textId="77777777" w:rsidR="008A5EC9" w:rsidRDefault="00E31574" w:rsidP="008A5EC9">
      <w:pPr>
        <w:pStyle w:val="AHESubheadingstyle4"/>
      </w:pPr>
      <w:r>
        <w:t>The standards of evidence are based around the kind of claims that providers can make when backing up assertions of impact. The methodologies captured in different types of claims should be appropriate to all types of contexts and access and participation work (</w:t>
      </w:r>
      <w:proofErr w:type="gramStart"/>
      <w:r>
        <w:t>in order to</w:t>
      </w:r>
      <w:proofErr w:type="gramEnd"/>
      <w:r>
        <w:t xml:space="preserve"> have general relevance rather than amongst those looking to do certain evaluation designs). More guidance is needed on how alternative methods of evidence generation which may be required for complex types of access and participation interventions and contexts sit within the framework and what judgement can be made in terms of impact claims.  </w:t>
      </w:r>
    </w:p>
    <w:p w14:paraId="1F433B4B" w14:textId="39985977" w:rsidR="00E11132" w:rsidRDefault="00F0234C" w:rsidP="00F0234C">
      <w:pPr>
        <w:pStyle w:val="Heading3"/>
      </w:pPr>
      <w:bookmarkStart w:id="85" w:name="_Toc205033908"/>
      <w:bookmarkStart w:id="86" w:name="_Toc205498267"/>
      <w:bookmarkStart w:id="87" w:name="_Toc205504281"/>
      <w:r>
        <w:t xml:space="preserve">6.1.4 </w:t>
      </w:r>
      <w:r w:rsidR="00E11132">
        <w:t>Use of evidence for external as well as internal knowledge generation</w:t>
      </w:r>
      <w:bookmarkEnd w:id="85"/>
      <w:bookmarkEnd w:id="86"/>
      <w:bookmarkEnd w:id="87"/>
    </w:p>
    <w:p w14:paraId="097D5B7A" w14:textId="01C5AAAF" w:rsidR="00013BDF" w:rsidRDefault="00013BDF" w:rsidP="00013BDF">
      <w:r>
        <w:t xml:space="preserve">An expectation of evaluation for external publication is set in the </w:t>
      </w:r>
      <w:proofErr w:type="gramStart"/>
      <w:r>
        <w:t>APPs</w:t>
      </w:r>
      <w:proofErr w:type="gramEnd"/>
      <w:r>
        <w:t xml:space="preserve"> and this is blurring the lines between evaluation and research. Within institutions, there are advantages in conceptualising some types of ‘flagship’ evaluations which are designed to inform the external (as well as the internal audience) as research since it could encourage increased scrutiny, and more resources to undertake the evaluation and make better considered evaluation design choices. However, the amount of time/effort needed for external dissemination activities is unclear and there is a concern to make sure it</w:t>
      </w:r>
      <w:r w:rsidR="00A71FD5">
        <w:t xml:space="preserve"> i</w:t>
      </w:r>
      <w:r>
        <w:t xml:space="preserve">s proportionate within an overall strategy so that evaluation most effectively supports delivery and outcomes for students. </w:t>
      </w:r>
    </w:p>
    <w:p w14:paraId="5A754F7B" w14:textId="4422EFB6" w:rsidR="00F603F9" w:rsidRDefault="005E7AFC" w:rsidP="00F603F9">
      <w:r>
        <w:t xml:space="preserve">In terms of assessing evaluation reports there is a difference between the use of standards as applied as an evaluation planning and development tool for APP evaluation work, and as a tool for retrospectively assessing the claims being made from specific impact evaluation reports. </w:t>
      </w:r>
      <w:r w:rsidR="00761839">
        <w:t xml:space="preserve">Using standards as a planning and development tool before/during an evaluation guides how the evaluation is conducted </w:t>
      </w:r>
      <w:proofErr w:type="gramStart"/>
      <w:r w:rsidR="00761839">
        <w:t>in order to</w:t>
      </w:r>
      <w:proofErr w:type="gramEnd"/>
      <w:r w:rsidR="00761839">
        <w:t xml:space="preserve"> ensure learning and improvement. Using standards as a retrospective assessment tool judges the validity of the causal evidence that has been produced </w:t>
      </w:r>
      <w:proofErr w:type="gramStart"/>
      <w:r w:rsidR="00761839">
        <w:t>in order to</w:t>
      </w:r>
      <w:proofErr w:type="gramEnd"/>
      <w:r w:rsidR="00761839">
        <w:t xml:space="preserve"> decide if an intervention is to be recommended more widely or not. </w:t>
      </w:r>
      <w:r w:rsidR="00761839" w:rsidRPr="009E3707">
        <w:t xml:space="preserve">If </w:t>
      </w:r>
      <w:r w:rsidR="00761839">
        <w:t xml:space="preserve">the </w:t>
      </w:r>
      <w:r w:rsidR="00761839" w:rsidRPr="009E3707">
        <w:t>distin</w:t>
      </w:r>
      <w:r w:rsidR="00761839">
        <w:t xml:space="preserve">ction between </w:t>
      </w:r>
      <w:r w:rsidR="00761839" w:rsidRPr="009E3707">
        <w:t>these uses</w:t>
      </w:r>
      <w:r w:rsidR="00761839">
        <w:t xml:space="preserve"> isn’t clear, there’s a risk that </w:t>
      </w:r>
      <w:r w:rsidR="00761839" w:rsidRPr="009E3707">
        <w:t>evaluation</w:t>
      </w:r>
      <w:r w:rsidR="00761839">
        <w:t xml:space="preserve"> is judged</w:t>
      </w:r>
      <w:r w:rsidR="00761839" w:rsidRPr="009E3707">
        <w:t xml:space="preserve"> unfairly</w:t>
      </w:r>
      <w:r w:rsidR="00761839">
        <w:t xml:space="preserve"> (</w:t>
      </w:r>
      <w:r w:rsidR="00761839" w:rsidRPr="009E3707">
        <w:t>for example, critici</w:t>
      </w:r>
      <w:r w:rsidR="00761839">
        <w:t>s</w:t>
      </w:r>
      <w:r w:rsidR="00761839" w:rsidRPr="009E3707">
        <w:t>ing a</w:t>
      </w:r>
      <w:r w:rsidR="00761839">
        <w:t xml:space="preserve">n approach </w:t>
      </w:r>
      <w:r w:rsidR="00761839" w:rsidRPr="009E3707">
        <w:t xml:space="preserve">for not </w:t>
      </w:r>
      <w:r w:rsidR="00761839">
        <w:t>meeting criteria</w:t>
      </w:r>
      <w:r w:rsidR="00761839" w:rsidRPr="009E3707">
        <w:t xml:space="preserve"> it was never guided by</w:t>
      </w:r>
      <w:r w:rsidR="00761839">
        <w:t>)</w:t>
      </w:r>
      <w:r w:rsidR="00761839" w:rsidRPr="009E3707">
        <w:t>.</w:t>
      </w:r>
      <w:r w:rsidR="00761839">
        <w:t xml:space="preserve"> </w:t>
      </w:r>
      <w:r w:rsidR="00013BDF">
        <w:t xml:space="preserve">There are advantages to </w:t>
      </w:r>
      <w:r w:rsidR="00AC39E9">
        <w:t xml:space="preserve">repositories of </w:t>
      </w:r>
      <w:r w:rsidR="00013BDF">
        <w:t xml:space="preserve">reports </w:t>
      </w:r>
      <w:r w:rsidR="00AC39E9">
        <w:t xml:space="preserve">(for example the HEEL) </w:t>
      </w:r>
      <w:r w:rsidR="00013BDF">
        <w:t>categoris</w:t>
      </w:r>
      <w:r w:rsidR="00AC39E9">
        <w:t>ing evaluations</w:t>
      </w:r>
      <w:r w:rsidR="00013BDF">
        <w:t xml:space="preserve"> to help direct readers to how the knowledge can be used, but any assessments need to value the contribution from different evaluation contexts</w:t>
      </w:r>
      <w:r w:rsidR="00514AFE">
        <w:t>, and from different approaches to evaluation</w:t>
      </w:r>
      <w:r w:rsidR="00013BDF">
        <w:t xml:space="preserve">. </w:t>
      </w:r>
      <w:r w:rsidR="00F603F9">
        <w:t xml:space="preserve">Overall, there is perhaps an appetite for sharing wide-ranging evaluation studies cutting across all types of evidence and </w:t>
      </w:r>
      <w:r w:rsidR="004658F3">
        <w:t xml:space="preserve">applying </w:t>
      </w:r>
      <w:r w:rsidR="00F603F9">
        <w:t>judge</w:t>
      </w:r>
      <w:r w:rsidR="004658F3">
        <w:t>ment based</w:t>
      </w:r>
      <w:r w:rsidR="00F603F9">
        <w:t xml:space="preserve"> on their own merit or with reference to methodological quality criteria.</w:t>
      </w:r>
    </w:p>
    <w:p w14:paraId="74FAAFC3" w14:textId="617716B8" w:rsidR="00E11132" w:rsidRDefault="00013BDF" w:rsidP="00E11132">
      <w:r>
        <w:t xml:space="preserve">Decision-makers tend to lean towards evidence that reflects their </w:t>
      </w:r>
      <w:proofErr w:type="gramStart"/>
      <w:r>
        <w:t>particular circumstances</w:t>
      </w:r>
      <w:proofErr w:type="gramEnd"/>
      <w:r>
        <w:t xml:space="preserve"> and concerns. Useful evidence to support replication and transferability of interventions that have impact and associated effective practices needs to be contextualised to draw implications for others – e.g. particular target groups and delivery circumstances. If the knowledge is to help with replication, then understanding of the implementation and process factors needs to be given, alongside the evidence of impact. </w:t>
      </w:r>
    </w:p>
    <w:p w14:paraId="140E3AC0" w14:textId="5509494C" w:rsidR="00DB72F9" w:rsidRPr="00DB72F9" w:rsidRDefault="0094782D" w:rsidP="00AE610F">
      <w:pPr>
        <w:pStyle w:val="Heading2"/>
      </w:pPr>
      <w:bookmarkStart w:id="88" w:name="_Toc205504282"/>
      <w:r>
        <w:t xml:space="preserve">Recommendations to </w:t>
      </w:r>
      <w:proofErr w:type="spellStart"/>
      <w:r>
        <w:t>OfS</w:t>
      </w:r>
      <w:bookmarkEnd w:id="88"/>
      <w:proofErr w:type="spellEnd"/>
      <w:r>
        <w:t xml:space="preserve"> </w:t>
      </w:r>
    </w:p>
    <w:p w14:paraId="1BD8162D" w14:textId="34D4C6CD" w:rsidR="00934B3B" w:rsidRDefault="001E38AA">
      <w:proofErr w:type="gramStart"/>
      <w:r>
        <w:t>In order to</w:t>
      </w:r>
      <w:proofErr w:type="gramEnd"/>
      <w:r>
        <w:t xml:space="preserve"> maximise the </w:t>
      </w:r>
      <w:r w:rsidR="003C4FF7">
        <w:t xml:space="preserve">role of the </w:t>
      </w:r>
      <w:r w:rsidR="00D147A5">
        <w:t>standards of evidence</w:t>
      </w:r>
      <w:r w:rsidR="003C4FF7">
        <w:t xml:space="preserve"> as a</w:t>
      </w:r>
      <w:r w:rsidR="00152269">
        <w:t>n</w:t>
      </w:r>
      <w:r w:rsidR="003C4FF7">
        <w:t xml:space="preserve"> evaluation capability building tool, we suggest there is scope for r</w:t>
      </w:r>
      <w:r w:rsidR="00E03CC1">
        <w:t xml:space="preserve">einforcing </w:t>
      </w:r>
      <w:r w:rsidR="00F818B0">
        <w:t xml:space="preserve">and enhancing </w:t>
      </w:r>
      <w:r w:rsidR="003C4FF7">
        <w:t xml:space="preserve">some </w:t>
      </w:r>
      <w:r w:rsidR="004E0134">
        <w:t xml:space="preserve">parts of the existing guidance </w:t>
      </w:r>
      <w:r w:rsidR="003C4FF7">
        <w:t xml:space="preserve">that </w:t>
      </w:r>
      <w:r w:rsidR="00D02565">
        <w:t xml:space="preserve">might </w:t>
      </w:r>
      <w:r w:rsidR="003C4FF7">
        <w:t xml:space="preserve">not always </w:t>
      </w:r>
      <w:r w:rsidR="00D02565">
        <w:t>be</w:t>
      </w:r>
      <w:r w:rsidR="003B2008">
        <w:t xml:space="preserve"> </w:t>
      </w:r>
      <w:r w:rsidR="003C4FF7">
        <w:t>recognis</w:t>
      </w:r>
      <w:r w:rsidR="003B2008">
        <w:t xml:space="preserve">ed in how they are </w:t>
      </w:r>
      <w:r w:rsidR="003B06F3">
        <w:t xml:space="preserve">being </w:t>
      </w:r>
      <w:r w:rsidR="003B2008">
        <w:t xml:space="preserve">applied. </w:t>
      </w:r>
    </w:p>
    <w:p w14:paraId="171FD0A8" w14:textId="4C48B1C1" w:rsidR="004E0134" w:rsidRDefault="00043F76">
      <w:r>
        <w:t>Specific</w:t>
      </w:r>
      <w:r w:rsidR="003B2008">
        <w:t xml:space="preserve"> a</w:t>
      </w:r>
      <w:r>
        <w:t>spects of the standards requiring reinforcement have been identified as</w:t>
      </w:r>
      <w:r w:rsidR="004E0134">
        <w:t xml:space="preserve">: </w:t>
      </w:r>
    </w:p>
    <w:p w14:paraId="08A4F3E4" w14:textId="633B63A1" w:rsidR="00544140" w:rsidRDefault="001B0586" w:rsidP="00171B1C">
      <w:pPr>
        <w:pStyle w:val="ListParagraph"/>
        <w:numPr>
          <w:ilvl w:val="0"/>
          <w:numId w:val="45"/>
        </w:numPr>
      </w:pPr>
      <w:r w:rsidRPr="00DD0B02">
        <w:rPr>
          <w:b/>
          <w:bCs/>
        </w:rPr>
        <w:lastRenderedPageBreak/>
        <w:t xml:space="preserve">Encouraging a </w:t>
      </w:r>
      <w:r w:rsidRPr="000C594B">
        <w:rPr>
          <w:b/>
          <w:bCs/>
        </w:rPr>
        <w:t>c</w:t>
      </w:r>
      <w:r w:rsidRPr="00DD0B02">
        <w:rPr>
          <w:b/>
          <w:bCs/>
        </w:rPr>
        <w:t xml:space="preserve">umulative </w:t>
      </w:r>
      <w:r w:rsidRPr="000C594B">
        <w:rPr>
          <w:b/>
          <w:bCs/>
        </w:rPr>
        <w:t>a</w:t>
      </w:r>
      <w:r w:rsidRPr="00DD0B02">
        <w:rPr>
          <w:b/>
          <w:bCs/>
        </w:rPr>
        <w:t>pproach</w:t>
      </w:r>
      <w:r w:rsidR="00DE2140" w:rsidRPr="000C594B">
        <w:rPr>
          <w:b/>
          <w:bCs/>
        </w:rPr>
        <w:t>:</w:t>
      </w:r>
      <w:r>
        <w:t xml:space="preserve"> </w:t>
      </w:r>
      <w:r w:rsidR="00CD796B">
        <w:t xml:space="preserve">The Types </w:t>
      </w:r>
      <w:r w:rsidR="00352BE3">
        <w:t xml:space="preserve">of evidence </w:t>
      </w:r>
      <w:r w:rsidR="00DE2140">
        <w:t xml:space="preserve">should be </w:t>
      </w:r>
      <w:r w:rsidR="00CD796B">
        <w:t xml:space="preserve">useful across the project planning and evaluation cycle </w:t>
      </w:r>
      <w:r w:rsidR="00DD0B02">
        <w:t>when</w:t>
      </w:r>
      <w:r w:rsidR="00E50657">
        <w:t xml:space="preserve"> design</w:t>
      </w:r>
      <w:r w:rsidR="00F028BD">
        <w:t>ed</w:t>
      </w:r>
      <w:r w:rsidR="00E50657">
        <w:t xml:space="preserve"> as </w:t>
      </w:r>
      <w:r w:rsidR="00E03CC1" w:rsidRPr="001377CF">
        <w:t>cumulative and part of a layered approach to evaluating interventions</w:t>
      </w:r>
      <w:r w:rsidR="00F028BD">
        <w:t>. The layered approach involve</w:t>
      </w:r>
      <w:r w:rsidR="00592A2C">
        <w:t>s</w:t>
      </w:r>
      <w:r w:rsidR="00B92BD3">
        <w:t xml:space="preserve">: </w:t>
      </w:r>
    </w:p>
    <w:p w14:paraId="0ED2C4C7" w14:textId="3081B192" w:rsidR="00830798" w:rsidRDefault="00830798" w:rsidP="00830798">
      <w:pPr>
        <w:spacing w:after="80"/>
        <w:ind w:left="1134"/>
      </w:pPr>
      <w:r>
        <w:t xml:space="preserve">Type 1: Ensure that there is a rationale for the intervention, and that there is understanding of what the outcomes and intended impact are, which is supported by evidence. </w:t>
      </w:r>
    </w:p>
    <w:p w14:paraId="46D3C41C" w14:textId="323BBCD8" w:rsidR="00830798" w:rsidRDefault="00830798" w:rsidP="00830798">
      <w:pPr>
        <w:spacing w:after="80"/>
        <w:ind w:left="1134"/>
      </w:pPr>
      <w:r>
        <w:t>Type 2</w:t>
      </w:r>
      <w:r w:rsidR="00E429BA">
        <w:t xml:space="preserve">: </w:t>
      </w:r>
      <w:r>
        <w:t xml:space="preserve">Collect evidence to test whether the outcomes and impact from the intervention are better than might reasonably have been expected without the intervention. </w:t>
      </w:r>
    </w:p>
    <w:p w14:paraId="584CD5DD" w14:textId="0F546B6D" w:rsidR="00B92BD3" w:rsidRDefault="00830798" w:rsidP="00E429BA">
      <w:pPr>
        <w:spacing w:after="80"/>
        <w:ind w:left="1134"/>
      </w:pPr>
      <w:r>
        <w:t>Type 3</w:t>
      </w:r>
      <w:r w:rsidR="00E429BA">
        <w:t xml:space="preserve">: </w:t>
      </w:r>
      <w:r>
        <w:t xml:space="preserve">Collect evidence to show that it was the intervention that led to the outcomes and impacts rather than other factors. </w:t>
      </w:r>
      <w:r w:rsidR="00C7284F" w:rsidRPr="001377CF">
        <w:t xml:space="preserve"> </w:t>
      </w:r>
    </w:p>
    <w:p w14:paraId="3E9A23C1" w14:textId="78546317" w:rsidR="00BC0434" w:rsidRDefault="005C11AE" w:rsidP="00171B1C">
      <w:pPr>
        <w:pStyle w:val="ListParagraph"/>
        <w:numPr>
          <w:ilvl w:val="0"/>
          <w:numId w:val="45"/>
        </w:numPr>
      </w:pPr>
      <w:r>
        <w:rPr>
          <w:b/>
          <w:bCs/>
        </w:rPr>
        <w:t>Complementarity with other</w:t>
      </w:r>
      <w:r w:rsidR="003F1653" w:rsidRPr="005E7FC4">
        <w:t xml:space="preserve"> </w:t>
      </w:r>
      <w:r w:rsidR="003F1653" w:rsidRPr="005E7FC4">
        <w:rPr>
          <w:b/>
          <w:bCs/>
        </w:rPr>
        <w:t>types of evidence</w:t>
      </w:r>
      <w:r>
        <w:rPr>
          <w:b/>
          <w:bCs/>
        </w:rPr>
        <w:t>:</w:t>
      </w:r>
      <w:r w:rsidR="003F1653">
        <w:t xml:space="preserve"> </w:t>
      </w:r>
      <w:r>
        <w:t>E</w:t>
      </w:r>
      <w:r w:rsidR="006B7ADE">
        <w:t xml:space="preserve">valuation </w:t>
      </w:r>
      <w:r>
        <w:t xml:space="preserve">of impact </w:t>
      </w:r>
      <w:r w:rsidR="006B7ADE">
        <w:t>complements other types of evidence gathering that goes on to inform evidence-based decision making (such as process evaluation</w:t>
      </w:r>
      <w:r w:rsidR="00932F4A">
        <w:t xml:space="preserve"> and practitioner reflection and so on</w:t>
      </w:r>
      <w:r w:rsidR="006B7ADE">
        <w:t>).</w:t>
      </w:r>
    </w:p>
    <w:p w14:paraId="703EE0C0" w14:textId="7AE21736" w:rsidR="00F77661" w:rsidRDefault="000720B7" w:rsidP="00AC3492">
      <w:pPr>
        <w:pStyle w:val="AHESubheadingstyle4"/>
      </w:pPr>
      <w:proofErr w:type="gramStart"/>
      <w:r>
        <w:t>In order to</w:t>
      </w:r>
      <w:proofErr w:type="gramEnd"/>
      <w:r>
        <w:t xml:space="preserve"> further support the use of standards in evaluation planning and delivery, we suggest there is scope to enhance the standards in </w:t>
      </w:r>
      <w:r w:rsidR="00D26A33">
        <w:t>these</w:t>
      </w:r>
      <w:r>
        <w:t xml:space="preserve"> areas. </w:t>
      </w:r>
    </w:p>
    <w:p w14:paraId="61355E90" w14:textId="6D350CF1" w:rsidR="00884BBA" w:rsidRDefault="00261BF5" w:rsidP="00171B1C">
      <w:pPr>
        <w:pStyle w:val="ListParagraph"/>
        <w:numPr>
          <w:ilvl w:val="0"/>
          <w:numId w:val="45"/>
        </w:numPr>
      </w:pPr>
      <w:r w:rsidRPr="00261BF5">
        <w:rPr>
          <w:b/>
          <w:bCs/>
        </w:rPr>
        <w:t>Language of the standards:</w:t>
      </w:r>
      <w:r>
        <w:t xml:space="preserve"> </w:t>
      </w:r>
      <w:r w:rsidR="00884BBA">
        <w:t xml:space="preserve">The </w:t>
      </w:r>
      <w:r w:rsidR="00572C82">
        <w:t xml:space="preserve">most useful evidence to support accountability and decision making </w:t>
      </w:r>
      <w:r w:rsidR="00FD6A8C">
        <w:t xml:space="preserve">should be </w:t>
      </w:r>
      <w:r w:rsidR="005F29B4">
        <w:t xml:space="preserve">at </w:t>
      </w:r>
      <w:r w:rsidR="00FD6A8C">
        <w:t>the forefront</w:t>
      </w:r>
      <w:r w:rsidR="005F29B4">
        <w:t xml:space="preserve"> of the standards</w:t>
      </w:r>
      <w:r w:rsidR="00FD6A8C">
        <w:t xml:space="preserve"> (rather than </w:t>
      </w:r>
      <w:r w:rsidR="005F29B4">
        <w:t xml:space="preserve">the use of any </w:t>
      </w:r>
      <w:proofErr w:type="gramStart"/>
      <w:r w:rsidR="0068344D">
        <w:t xml:space="preserve">particular </w:t>
      </w:r>
      <w:r w:rsidR="00FD6A8C">
        <w:t>method</w:t>
      </w:r>
      <w:proofErr w:type="gramEnd"/>
      <w:r w:rsidR="005F29B4">
        <w:t xml:space="preserve"> or </w:t>
      </w:r>
      <w:r w:rsidR="00FD6A8C">
        <w:t xml:space="preserve">approach). </w:t>
      </w:r>
      <w:r w:rsidR="001F7255">
        <w:t xml:space="preserve">We </w:t>
      </w:r>
      <w:r w:rsidR="00DE2140">
        <w:t>propose that the</w:t>
      </w:r>
      <w:r w:rsidR="001F7255">
        <w:t xml:space="preserve"> language </w:t>
      </w:r>
      <w:r w:rsidR="00DE2140">
        <w:t xml:space="preserve">of the standards should be revisited </w:t>
      </w:r>
      <w:r w:rsidR="005700E4">
        <w:t xml:space="preserve">to </w:t>
      </w:r>
      <w:r w:rsidR="00DE2140">
        <w:t>include a str</w:t>
      </w:r>
      <w:r w:rsidR="00697487">
        <w:t>o</w:t>
      </w:r>
      <w:r w:rsidR="00DE2140">
        <w:t xml:space="preserve">ng </w:t>
      </w:r>
      <w:r w:rsidR="005700E4">
        <w:t>f</w:t>
      </w:r>
      <w:r w:rsidR="001F7255">
        <w:t>ocus on the claim</w:t>
      </w:r>
      <w:r w:rsidR="001B3BC1">
        <w:t>s</w:t>
      </w:r>
      <w:r w:rsidR="001F7255">
        <w:t xml:space="preserve"> that can be made </w:t>
      </w:r>
      <w:r w:rsidR="001B3BC1">
        <w:t xml:space="preserve">- </w:t>
      </w:r>
      <w:r w:rsidR="001F7255">
        <w:t xml:space="preserve">and the implications for how providers view the </w:t>
      </w:r>
      <w:r w:rsidR="00624B5E">
        <w:t xml:space="preserve">results from evaluation and </w:t>
      </w:r>
      <w:r w:rsidR="000D15D2">
        <w:t>to inform evidence-based</w:t>
      </w:r>
      <w:r w:rsidR="00624B5E">
        <w:t xml:space="preserve"> decisions</w:t>
      </w:r>
      <w:r w:rsidR="00C7284F">
        <w:t xml:space="preserve">. </w:t>
      </w:r>
    </w:p>
    <w:p w14:paraId="374D7C3D" w14:textId="273E600E" w:rsidR="00A174C4" w:rsidRDefault="00BD5E77" w:rsidP="00171B1C">
      <w:pPr>
        <w:pStyle w:val="ListParagraph"/>
        <w:numPr>
          <w:ilvl w:val="0"/>
          <w:numId w:val="45"/>
        </w:numPr>
      </w:pPr>
      <w:r w:rsidRPr="00BD5E77">
        <w:rPr>
          <w:b/>
          <w:bCs/>
        </w:rPr>
        <w:t>Range of evaluation designs:</w:t>
      </w:r>
      <w:r>
        <w:t xml:space="preserve"> </w:t>
      </w:r>
      <w:r w:rsidR="00111E68">
        <w:t xml:space="preserve">Within Type 2 and 3 it </w:t>
      </w:r>
      <w:r w:rsidR="00DE2140">
        <w:t>gre</w:t>
      </w:r>
      <w:r w:rsidR="000D15D2">
        <w:t>a</w:t>
      </w:r>
      <w:r w:rsidR="00DE2140">
        <w:t xml:space="preserve">ter clarity </w:t>
      </w:r>
      <w:r w:rsidR="00A815BE">
        <w:t>is</w:t>
      </w:r>
      <w:r w:rsidR="00DE2140">
        <w:t xml:space="preserve"> required to demonstrate that</w:t>
      </w:r>
      <w:r w:rsidR="00111E68">
        <w:t xml:space="preserve"> claims can be supported by </w:t>
      </w:r>
      <w:r w:rsidR="00870DA6">
        <w:t>a range of evaluation designs</w:t>
      </w:r>
      <w:r w:rsidR="00DE2140">
        <w:t xml:space="preserve">, recognising that </w:t>
      </w:r>
      <w:r w:rsidR="00870DA6">
        <w:t xml:space="preserve">qualitative approaches and case-orientated </w:t>
      </w:r>
      <w:r w:rsidR="00BA792F">
        <w:t xml:space="preserve">evaluation designs can be used </w:t>
      </w:r>
      <w:r w:rsidR="002775A1">
        <w:t xml:space="preserve">to </w:t>
      </w:r>
      <w:r w:rsidR="00BA792F">
        <w:t xml:space="preserve">provide </w:t>
      </w:r>
      <w:r w:rsidR="006C5E3C">
        <w:t xml:space="preserve">sufficiently </w:t>
      </w:r>
      <w:r w:rsidR="007E5E5E">
        <w:t xml:space="preserve">strong evidence of </w:t>
      </w:r>
      <w:r w:rsidR="00BA3380">
        <w:t>impact claims</w:t>
      </w:r>
      <w:r w:rsidR="00C81819">
        <w:t xml:space="preserve"> in circumstances</w:t>
      </w:r>
      <w:r w:rsidR="00D77895">
        <w:t xml:space="preserve"> where the data and methods are sufficient</w:t>
      </w:r>
      <w:r w:rsidR="00A52FC9">
        <w:t>ly robust</w:t>
      </w:r>
      <w:r w:rsidR="00672314">
        <w:t xml:space="preserve"> to do so</w:t>
      </w:r>
      <w:r w:rsidR="00BA3380">
        <w:t xml:space="preserve">. </w:t>
      </w:r>
    </w:p>
    <w:p w14:paraId="6A0FD015" w14:textId="3A83107B" w:rsidR="00A5606A" w:rsidRDefault="00A5606A" w:rsidP="001E5DA1">
      <w:r>
        <w:t>S</w:t>
      </w:r>
      <w:r w:rsidRPr="00E30908">
        <w:t>uggestions for change</w:t>
      </w:r>
      <w:r>
        <w:t xml:space="preserve"> </w:t>
      </w:r>
      <w:r w:rsidRPr="00E30908">
        <w:t xml:space="preserve">to the existing </w:t>
      </w:r>
      <w:r>
        <w:t xml:space="preserve">standards </w:t>
      </w:r>
      <w:r w:rsidRPr="00E30908">
        <w:t xml:space="preserve">framework are given in Annex </w:t>
      </w:r>
      <w:r w:rsidR="00DC203B">
        <w:t>2</w:t>
      </w:r>
      <w:r w:rsidRPr="00E30908">
        <w:t>.</w:t>
      </w:r>
    </w:p>
    <w:p w14:paraId="3701BB95" w14:textId="1EC46D56" w:rsidR="001E5DA1" w:rsidRDefault="001E5DA1" w:rsidP="001E5DA1">
      <w:proofErr w:type="gramStart"/>
      <w:r>
        <w:t>In order to</w:t>
      </w:r>
      <w:proofErr w:type="gramEnd"/>
      <w:r>
        <w:t xml:space="preserve"> encourage innovative approaches and methodological plur</w:t>
      </w:r>
      <w:r w:rsidR="008931C4">
        <w:t>alism</w:t>
      </w:r>
      <w:r>
        <w:t xml:space="preserve">, </w:t>
      </w:r>
      <w:r w:rsidR="00A70324">
        <w:t xml:space="preserve">as well as valuing contribution as well as impact, </w:t>
      </w:r>
      <w:r>
        <w:t xml:space="preserve">we </w:t>
      </w:r>
      <w:r w:rsidR="00BF6AD6">
        <w:t xml:space="preserve">suggest there is a need for: </w:t>
      </w:r>
    </w:p>
    <w:p w14:paraId="640E780E" w14:textId="3DC63811" w:rsidR="00A5606A" w:rsidRDefault="001E5DA1" w:rsidP="00171B1C">
      <w:pPr>
        <w:pStyle w:val="ListParagraph"/>
        <w:numPr>
          <w:ilvl w:val="0"/>
          <w:numId w:val="45"/>
        </w:numPr>
      </w:pPr>
      <w:r w:rsidRPr="001E5DA1">
        <w:rPr>
          <w:b/>
          <w:bCs/>
        </w:rPr>
        <w:t xml:space="preserve">Greater clarity on methods to support claims to causality with the evidence types: </w:t>
      </w:r>
      <w:r w:rsidRPr="003E45DD">
        <w:t xml:space="preserve">The </w:t>
      </w:r>
      <w:r>
        <w:t xml:space="preserve">standards </w:t>
      </w:r>
      <w:r w:rsidRPr="003E45DD">
        <w:t xml:space="preserve">typology is not meant as a </w:t>
      </w:r>
      <w:r>
        <w:t xml:space="preserve">categorisation of </w:t>
      </w:r>
      <w:r w:rsidRPr="003E45DD">
        <w:t>different methods</w:t>
      </w:r>
      <w:r>
        <w:t xml:space="preserve"> of evaluation, but there is a lack of understanding about how different evaluation techniques can be used to support claims at all levels of the framework. The standards encompass quantitative and qualitative research methods within each of the types, but more information and guidance </w:t>
      </w:r>
      <w:proofErr w:type="gramStart"/>
      <w:r>
        <w:t>is</w:t>
      </w:r>
      <w:proofErr w:type="gramEnd"/>
      <w:r>
        <w:t xml:space="preserve"> needed on how different approaches can be operationalised in practice</w:t>
      </w:r>
      <w:r w:rsidR="00A70324">
        <w:t xml:space="preserve"> and how theory-</w:t>
      </w:r>
      <w:r w:rsidR="00BC6566">
        <w:t>based</w:t>
      </w:r>
      <w:r w:rsidR="00A70324">
        <w:t xml:space="preserve"> evaluation fits with the framework</w:t>
      </w:r>
      <w:r>
        <w:t xml:space="preserve">. </w:t>
      </w:r>
    </w:p>
    <w:p w14:paraId="054CA698" w14:textId="7C6931E1" w:rsidR="00613C2A" w:rsidRDefault="00133764" w:rsidP="00820338">
      <w:r>
        <w:t xml:space="preserve">Recommendations for </w:t>
      </w:r>
      <w:r w:rsidR="00E12795">
        <w:t>a framework</w:t>
      </w:r>
      <w:r>
        <w:t xml:space="preserve"> to support these recommendations </w:t>
      </w:r>
      <w:r w:rsidR="00E12795">
        <w:t xml:space="preserve">are </w:t>
      </w:r>
      <w:r>
        <w:t xml:space="preserve">given in </w:t>
      </w:r>
      <w:r w:rsidR="00E12795">
        <w:t xml:space="preserve">Annex </w:t>
      </w:r>
      <w:r w:rsidR="00C26EE9">
        <w:t>3</w:t>
      </w:r>
      <w:r w:rsidR="00E12795">
        <w:t>.</w:t>
      </w:r>
    </w:p>
    <w:p w14:paraId="0A26E3B1" w14:textId="77777777" w:rsidR="00E03327" w:rsidRDefault="00E03327" w:rsidP="00E03327">
      <w:r>
        <w:t xml:space="preserve">There is scope for further guidance to providers in relation to supporting evaluation strengthening and the use of evaluation evidence which could include: </w:t>
      </w:r>
    </w:p>
    <w:p w14:paraId="2186ED2B" w14:textId="45592145" w:rsidR="00E03327" w:rsidRPr="00DE5D5C" w:rsidRDefault="00E03327" w:rsidP="00DE5D5C">
      <w:pPr>
        <w:pStyle w:val="ListParagraph"/>
        <w:numPr>
          <w:ilvl w:val="0"/>
          <w:numId w:val="45"/>
        </w:numPr>
      </w:pPr>
      <w:r w:rsidRPr="00171B1C">
        <w:rPr>
          <w:b/>
          <w:bCs/>
        </w:rPr>
        <w:t>Practical guidance</w:t>
      </w:r>
      <w:r>
        <w:t xml:space="preserve"> on how providers can strengthen their impact evaluations within the Types (i.e. the practical ways to increase the rigour and quality of their evaluation design and methods). </w:t>
      </w:r>
      <w:r w:rsidR="00DE5D5C">
        <w:t>T</w:t>
      </w:r>
      <w:r w:rsidR="00F818B0" w:rsidRPr="00DE5D5C">
        <w:t xml:space="preserve">hose consulted in case institutions </w:t>
      </w:r>
      <w:r w:rsidR="00B46D60">
        <w:t>wanted</w:t>
      </w:r>
      <w:r w:rsidR="00F818B0" w:rsidRPr="00DE5D5C">
        <w:t xml:space="preserve"> guidance on how to operationalise the standards in different practice contexts. </w:t>
      </w:r>
    </w:p>
    <w:p w14:paraId="0BC8129E" w14:textId="34BBD943" w:rsidR="00E03327" w:rsidRDefault="00E03327" w:rsidP="0047708E">
      <w:pPr>
        <w:pStyle w:val="ListParagraph"/>
        <w:numPr>
          <w:ilvl w:val="0"/>
          <w:numId w:val="45"/>
        </w:numPr>
      </w:pPr>
      <w:r>
        <w:t xml:space="preserve">The </w:t>
      </w:r>
      <w:r w:rsidRPr="00F818B0">
        <w:rPr>
          <w:b/>
          <w:bCs/>
        </w:rPr>
        <w:t xml:space="preserve">evaluation self-assessment tool </w:t>
      </w:r>
      <w:r>
        <w:t xml:space="preserve">should be revisited and revised </w:t>
      </w:r>
      <w:proofErr w:type="gramStart"/>
      <w:r>
        <w:t>in order to</w:t>
      </w:r>
      <w:proofErr w:type="gramEnd"/>
      <w:r>
        <w:t xml:space="preserve"> make sure it reflects a range of evidence that can be used (quantitative and qualitative) and that it encapsulates the most recent learning about the facilitating factors that can support strengthening of impact evaluations. </w:t>
      </w:r>
      <w:r w:rsidR="009271C3">
        <w:t xml:space="preserve">The Tool could be supported by development of an </w:t>
      </w:r>
      <w:r w:rsidR="009271C3" w:rsidRPr="0047708E">
        <w:rPr>
          <w:b/>
          <w:bCs/>
        </w:rPr>
        <w:t>Evaluation Maturity Framewor</w:t>
      </w:r>
      <w:r w:rsidR="009271C3">
        <w:t>k which higher education providers can use to assess their</w:t>
      </w:r>
      <w:r w:rsidR="009271C3" w:rsidRPr="00601AD8">
        <w:t xml:space="preserve"> capabilities and processes </w:t>
      </w:r>
      <w:r w:rsidR="009271C3">
        <w:t>in APP evaluation</w:t>
      </w:r>
      <w:r w:rsidR="009271C3" w:rsidRPr="00601AD8">
        <w:t xml:space="preserve"> to determine </w:t>
      </w:r>
      <w:r w:rsidR="009271C3">
        <w:t>the level of</w:t>
      </w:r>
      <w:r w:rsidR="009271C3" w:rsidRPr="00601AD8">
        <w:t xml:space="preserve"> advancement.</w:t>
      </w:r>
    </w:p>
    <w:p w14:paraId="62DDBCED" w14:textId="2756724E" w:rsidR="007D4E76" w:rsidRDefault="003F642A" w:rsidP="00F818B0">
      <w:pPr>
        <w:pStyle w:val="Heading2"/>
      </w:pPr>
      <w:bookmarkStart w:id="89" w:name="_Toc205504283"/>
      <w:r w:rsidRPr="0014724B">
        <w:t xml:space="preserve">Recommendations to </w:t>
      </w:r>
      <w:r w:rsidR="00DE4F8B" w:rsidRPr="0014724B">
        <w:t>support the use of evidence</w:t>
      </w:r>
      <w:bookmarkEnd w:id="89"/>
      <w:r w:rsidR="00DE4F8B" w:rsidRPr="0014724B">
        <w:t xml:space="preserve"> </w:t>
      </w:r>
    </w:p>
    <w:p w14:paraId="28F1B9FC" w14:textId="77777777" w:rsidR="00F818B0" w:rsidRDefault="00F818B0" w:rsidP="00F818B0">
      <w:proofErr w:type="gramStart"/>
      <w:r>
        <w:t>In order to</w:t>
      </w:r>
      <w:proofErr w:type="gramEnd"/>
      <w:r>
        <w:t xml:space="preserve"> encourage use of evaluation results in a way that supports transferability and replicability of proven and promising practices we recommend: </w:t>
      </w:r>
    </w:p>
    <w:p w14:paraId="5C78BBE8" w14:textId="493CEE3E" w:rsidR="00F818B0" w:rsidRDefault="00F818B0" w:rsidP="00F818B0">
      <w:pPr>
        <w:pStyle w:val="ListParagraph"/>
        <w:numPr>
          <w:ilvl w:val="0"/>
          <w:numId w:val="45"/>
        </w:numPr>
      </w:pPr>
      <w:r>
        <w:t xml:space="preserve">Differentiation between standards to make an assessment about the type of evidence </w:t>
      </w:r>
      <w:r w:rsidRPr="00F818B0">
        <w:rPr>
          <w:b/>
          <w:bCs/>
        </w:rPr>
        <w:t>ex ante</w:t>
      </w:r>
      <w:r>
        <w:t xml:space="preserve"> (i.e. decisions about which evidence is appropriate in any </w:t>
      </w:r>
      <w:proofErr w:type="gramStart"/>
      <w:r>
        <w:t>particular context</w:t>
      </w:r>
      <w:proofErr w:type="gramEnd"/>
      <w:r>
        <w:t xml:space="preserve"> when planning and prioritising evaluation work) and the hierarchy by which to judge the strength of evidence </w:t>
      </w:r>
      <w:r w:rsidRPr="00F818B0">
        <w:rPr>
          <w:b/>
          <w:bCs/>
        </w:rPr>
        <w:t>post hoc</w:t>
      </w:r>
      <w:r>
        <w:t xml:space="preserve"> </w:t>
      </w:r>
      <w:r>
        <w:lastRenderedPageBreak/>
        <w:t xml:space="preserve">(i.e. the strength of causal claims reported for </w:t>
      </w:r>
      <w:proofErr w:type="gramStart"/>
      <w:r>
        <w:t>particular types</w:t>
      </w:r>
      <w:proofErr w:type="gramEnd"/>
      <w:r>
        <w:t xml:space="preserve"> of interventions in evaluation outputs). </w:t>
      </w:r>
      <w:r w:rsidR="00E94F9F" w:rsidRPr="00E94F9F">
        <w:t>Ex ante standards help guide decisions and allocate resources wisely, while ex post standards ensure transparency, learning, and continuous improvement.</w:t>
      </w:r>
      <w:r w:rsidR="00E94F9F">
        <w:t xml:space="preserve"> </w:t>
      </w:r>
      <w:r>
        <w:t xml:space="preserve">The sector should be striving for the highest level of assurance on impact for both </w:t>
      </w:r>
      <w:proofErr w:type="gramStart"/>
      <w:r>
        <w:t>purposes,</w:t>
      </w:r>
      <w:proofErr w:type="gramEnd"/>
      <w:r>
        <w:t xml:space="preserve"> however, every evaluation needs to be judged on its own merit because every evaluation is an opportunity for knowledge generation and learning.</w:t>
      </w:r>
    </w:p>
    <w:p w14:paraId="4C88782B" w14:textId="77777777" w:rsidR="00F03D67" w:rsidRDefault="00F818B0" w:rsidP="004871D0">
      <w:pPr>
        <w:pStyle w:val="ListParagraph"/>
        <w:numPr>
          <w:ilvl w:val="0"/>
          <w:numId w:val="45"/>
        </w:numPr>
      </w:pPr>
      <w:r w:rsidRPr="00DE377C">
        <w:t xml:space="preserve">Clarity on expectations in terms of </w:t>
      </w:r>
      <w:r>
        <w:rPr>
          <w:b/>
          <w:bCs/>
        </w:rPr>
        <w:t>contextual understanding</w:t>
      </w:r>
      <w:r>
        <w:t xml:space="preserve"> to be applied to impact evaluations. Reporting standards should keep take-up and transferability of knowledge in mind. A ‘+’ designation could be included in the standards to denote evaluations where the contextual understanding and knowledge of practical replicability conditions is sufficient to underpin transferability across institutions (See suggestions in Annex 1). </w:t>
      </w:r>
    </w:p>
    <w:p w14:paraId="2157DE1D" w14:textId="4E408F0D" w:rsidR="00F818B0" w:rsidRDefault="00F818B0" w:rsidP="00F03D67">
      <w:pPr>
        <w:pStyle w:val="ListParagraph"/>
        <w:numPr>
          <w:ilvl w:val="0"/>
          <w:numId w:val="45"/>
        </w:numPr>
      </w:pPr>
      <w:r>
        <w:t xml:space="preserve">Adoption of </w:t>
      </w:r>
      <w:r w:rsidR="00E563EE" w:rsidRPr="00F03D67">
        <w:rPr>
          <w:b/>
          <w:bCs/>
        </w:rPr>
        <w:t>r</w:t>
      </w:r>
      <w:r w:rsidR="00E36D12" w:rsidRPr="00F03D67">
        <w:rPr>
          <w:b/>
          <w:bCs/>
        </w:rPr>
        <w:t>eporting standards</w:t>
      </w:r>
      <w:r w:rsidR="00E36D12">
        <w:t xml:space="preserve"> </w:t>
      </w:r>
      <w:r w:rsidR="003C632F">
        <w:t>designed to support take-up and transf</w:t>
      </w:r>
      <w:r w:rsidR="00E563EE">
        <w:t>e</w:t>
      </w:r>
      <w:r w:rsidR="003C632F">
        <w:t>rab</w:t>
      </w:r>
      <w:r w:rsidR="008862FC">
        <w:t>i</w:t>
      </w:r>
      <w:r w:rsidR="003C632F">
        <w:t>lity of kn</w:t>
      </w:r>
      <w:r w:rsidR="00E563EE">
        <w:t>o</w:t>
      </w:r>
      <w:r w:rsidR="003C632F">
        <w:t xml:space="preserve">wledge. </w:t>
      </w:r>
      <w:r w:rsidR="004871D0" w:rsidRPr="00E47850">
        <w:t xml:space="preserve">Reporting standards for published evaluations should </w:t>
      </w:r>
      <w:r w:rsidR="004871D0">
        <w:t>help reviewers and readers understand and appraise an evaluation, taking account of the</w:t>
      </w:r>
      <w:r w:rsidR="004871D0" w:rsidRPr="00E47850">
        <w:t xml:space="preserve"> usefulness of the evidence as knowledge to inform others in the sector </w:t>
      </w:r>
      <w:r w:rsidR="004871D0">
        <w:t>about</w:t>
      </w:r>
      <w:r w:rsidR="004871D0" w:rsidRPr="00E47850">
        <w:t xml:space="preserve"> what should happen next.</w:t>
      </w:r>
      <w:r w:rsidR="00F03D67">
        <w:t xml:space="preserve"> </w:t>
      </w:r>
      <w:r w:rsidR="00E0323E">
        <w:t xml:space="preserve">There are potentially several aspects </w:t>
      </w:r>
      <w:r w:rsidR="00E21322">
        <w:t>which need to be assessed</w:t>
      </w:r>
      <w:r>
        <w:t>, for example</w:t>
      </w:r>
      <w:r w:rsidR="00E21322">
        <w:t>: Whether the evaluation questions have been clearly stated and are sufficiently defined</w:t>
      </w:r>
      <w:r>
        <w:t xml:space="preserve">; </w:t>
      </w:r>
      <w:r w:rsidR="00E21322">
        <w:t xml:space="preserve">Whether the types of claims that the evaluation is seeking to make have been made explicit </w:t>
      </w:r>
      <w:r w:rsidR="00CA5DF9">
        <w:t>and that the evidence presented supports the claims</w:t>
      </w:r>
      <w:r w:rsidR="00E21322">
        <w:t>:</w:t>
      </w:r>
      <w:r>
        <w:t xml:space="preserve"> </w:t>
      </w:r>
      <w:r w:rsidR="00CA5DF9">
        <w:t>Whether t</w:t>
      </w:r>
      <w:r w:rsidR="00E21322">
        <w:t>he evidence and methods are reasonable, steps have been taken to ensure the reliability of the results, the evidence support the claims being made</w:t>
      </w:r>
      <w:r w:rsidR="00CA5DF9">
        <w:t xml:space="preserve">; Whether there is </w:t>
      </w:r>
      <w:r w:rsidR="00E21322">
        <w:t xml:space="preserve">enough information </w:t>
      </w:r>
      <w:r w:rsidR="00672254">
        <w:t>about the contextual factors for providers to access the usefulness of the conclusions and transferability to their own practic</w:t>
      </w:r>
      <w:r w:rsidR="007D6911">
        <w:t>es</w:t>
      </w:r>
      <w:r>
        <w:t xml:space="preserve">; </w:t>
      </w:r>
      <w:r w:rsidR="007D6911">
        <w:t xml:space="preserve">Whether there is </w:t>
      </w:r>
      <w:r w:rsidR="0028431A">
        <w:t xml:space="preserve">enough information on the implementation aspects and processes involved to support replicability of the practice (if it </w:t>
      </w:r>
      <w:r w:rsidR="008116A9">
        <w:t>has been shown to be worthwhile</w:t>
      </w:r>
      <w:r w:rsidR="0028431A">
        <w:t>)</w:t>
      </w:r>
      <w:r w:rsidR="007D6911">
        <w:t xml:space="preserve">. </w:t>
      </w:r>
    </w:p>
    <w:p w14:paraId="0EF74DC0" w14:textId="77777777" w:rsidR="00F03D67" w:rsidRDefault="00F818B0" w:rsidP="00F03D67">
      <w:pPr>
        <w:pStyle w:val="ListParagraph"/>
        <w:numPr>
          <w:ilvl w:val="0"/>
          <w:numId w:val="45"/>
        </w:numPr>
      </w:pPr>
      <w:r>
        <w:t xml:space="preserve">Reports of </w:t>
      </w:r>
      <w:r w:rsidRPr="00F818B0">
        <w:rPr>
          <w:b/>
          <w:bCs/>
        </w:rPr>
        <w:t xml:space="preserve">evidence-based </w:t>
      </w:r>
      <w:proofErr w:type="gramStart"/>
      <w:r w:rsidRPr="00F818B0">
        <w:rPr>
          <w:b/>
          <w:bCs/>
        </w:rPr>
        <w:t>decision making</w:t>
      </w:r>
      <w:proofErr w:type="gramEnd"/>
      <w:r w:rsidRPr="00F818B0">
        <w:rPr>
          <w:b/>
          <w:bCs/>
        </w:rPr>
        <w:t xml:space="preserve"> practice</w:t>
      </w:r>
      <w:r>
        <w:t xml:space="preserve"> should be within the scope of the HEEL (i.e. studies which demonstrate where a provider used impact evaluation results to change their own practice and what was involved in that process including the evidence). This opens the door to learning about what different types of impact evidence studies have contributed </w:t>
      </w:r>
      <w:proofErr w:type="gramStart"/>
      <w:r>
        <w:t>in</w:t>
      </w:r>
      <w:proofErr w:type="gramEnd"/>
      <w:r>
        <w:t xml:space="preserve"> practice improvement and the implications of this learning for other providers.</w:t>
      </w:r>
    </w:p>
    <w:p w14:paraId="5CB16B45" w14:textId="77777777" w:rsidR="00F03D67" w:rsidRDefault="007671AD" w:rsidP="00324731">
      <w:pPr>
        <w:pStyle w:val="Heading2"/>
      </w:pPr>
      <w:bookmarkStart w:id="90" w:name="_Toc205504284"/>
      <w:r>
        <w:t>Recommendations for further research</w:t>
      </w:r>
      <w:bookmarkEnd w:id="90"/>
    </w:p>
    <w:p w14:paraId="1668FFD3" w14:textId="77777777" w:rsidR="00F03D67" w:rsidRDefault="007671AD" w:rsidP="00324731">
      <w:r>
        <w:t xml:space="preserve">Further research would be beneficial, particularly in relation to: </w:t>
      </w:r>
    </w:p>
    <w:p w14:paraId="5B2BA168" w14:textId="0BEA6822" w:rsidR="008B79A6" w:rsidRDefault="008B79A6" w:rsidP="008B79A6">
      <w:pPr>
        <w:pStyle w:val="ListParagraph"/>
        <w:numPr>
          <w:ilvl w:val="0"/>
          <w:numId w:val="45"/>
        </w:numPr>
      </w:pPr>
      <w:r>
        <w:t xml:space="preserve">Collaborative sector level research aimed at developing sector consensus on the specific requirements that different types of mixed methods and causal reasoning evaluation designs would need to meet to fit within thresholds within the standard types.  </w:t>
      </w:r>
    </w:p>
    <w:p w14:paraId="223011E5" w14:textId="77777777" w:rsidR="00684924" w:rsidRDefault="008B79A6" w:rsidP="00684924">
      <w:pPr>
        <w:pStyle w:val="ListParagraph"/>
        <w:numPr>
          <w:ilvl w:val="0"/>
          <w:numId w:val="45"/>
        </w:numPr>
      </w:pPr>
      <w:r>
        <w:t xml:space="preserve">Commissioned research to identify learning from other evaluation frameworks. Potentially useful reference points for wider frameworks for complex evaluations are available from other sectors (e.g. the Medical Research Council (MRC)/ National Institute for Health Research (NIHR) framework for the development and evaluation of complex interventions in healthcare). </w:t>
      </w:r>
    </w:p>
    <w:p w14:paraId="216CC1EA" w14:textId="3ED59132" w:rsidR="00627031" w:rsidRPr="00684924" w:rsidRDefault="00684924" w:rsidP="00684924">
      <w:pPr>
        <w:pStyle w:val="ListParagraph"/>
        <w:numPr>
          <w:ilvl w:val="0"/>
          <w:numId w:val="45"/>
        </w:numPr>
      </w:pPr>
      <w:r w:rsidRPr="00684924">
        <w:t xml:space="preserve">Developmental collaborative research to undertake further testing and validation of survey questions in existing evaluation frameworks </w:t>
      </w:r>
      <w:proofErr w:type="gramStart"/>
      <w:r w:rsidRPr="00684924">
        <w:t>in order to</w:t>
      </w:r>
      <w:proofErr w:type="gramEnd"/>
      <w:r w:rsidRPr="00684924">
        <w:t xml:space="preserve"> increase the availability of standardised tools for evaluating key sector intermediate student outcomes associated with access and participation interventions.</w:t>
      </w:r>
      <w:r w:rsidR="00627031" w:rsidRPr="00684924">
        <w:rPr>
          <w:b/>
          <w:bCs/>
          <w:sz w:val="22"/>
        </w:rPr>
        <w:br w:type="page"/>
      </w:r>
    </w:p>
    <w:p w14:paraId="2835D340" w14:textId="2187DF3F" w:rsidR="003B619A" w:rsidRPr="00171B1C" w:rsidRDefault="0017520A" w:rsidP="00F557C9">
      <w:pPr>
        <w:pStyle w:val="Heading3"/>
      </w:pPr>
      <w:bookmarkStart w:id="91" w:name="_Toc205504285"/>
      <w:r w:rsidRPr="00171B1C">
        <w:lastRenderedPageBreak/>
        <w:t xml:space="preserve">ANNEX </w:t>
      </w:r>
      <w:r w:rsidR="006A5EAB" w:rsidRPr="00171B1C">
        <w:rPr>
          <w:bCs/>
        </w:rPr>
        <w:t>1</w:t>
      </w:r>
      <w:r w:rsidRPr="00171B1C">
        <w:t>: RESEARCH METHO</w:t>
      </w:r>
      <w:r w:rsidR="00A75974" w:rsidRPr="00171B1C">
        <w:t>D</w:t>
      </w:r>
      <w:bookmarkEnd w:id="91"/>
    </w:p>
    <w:p w14:paraId="54C6C3C5" w14:textId="77777777" w:rsidR="006A5EAB" w:rsidRPr="006A5EAB" w:rsidRDefault="006A5EAB" w:rsidP="006A5EAB">
      <w:pPr>
        <w:pStyle w:val="Gap"/>
        <w:rPr>
          <w:sz w:val="2"/>
          <w:szCs w:val="2"/>
        </w:rPr>
      </w:pPr>
    </w:p>
    <w:p w14:paraId="39E06B4A" w14:textId="2FE29EF8" w:rsidR="00A75974" w:rsidRDefault="00A75974" w:rsidP="00A75974">
      <w:r>
        <w:t xml:space="preserve">The research was undertaken in partnership with a group of seven higher education providers which cut across different provider categories, contexts, and student populations (Table </w:t>
      </w:r>
      <w:r w:rsidR="007C1D35">
        <w:t>A</w:t>
      </w:r>
      <w:r>
        <w:t xml:space="preserve">1.1). The sample was purposively chosen to ensure a varied range of contexts and viewpoints across the English higher education sector. Evaluation leads in institutions were invited to participate as project partners at the end of 2024, through a direct approach from NERUPI (the Network for Researching University Participation Initiatives). </w:t>
      </w:r>
    </w:p>
    <w:p w14:paraId="7180BB44" w14:textId="7EA7D231" w:rsidR="00A75974" w:rsidRDefault="00A75974" w:rsidP="00A75974">
      <w:r>
        <w:t xml:space="preserve">Table </w:t>
      </w:r>
      <w:r w:rsidR="007C1D35">
        <w:t>A</w:t>
      </w:r>
      <w:r>
        <w:t xml:space="preserve">1.1: Profile of Partner institutions </w:t>
      </w:r>
    </w:p>
    <w:tbl>
      <w:tblPr>
        <w:tblW w:w="10881" w:type="dxa"/>
        <w:tblLayout w:type="fixed"/>
        <w:tblLook w:val="04A0" w:firstRow="1" w:lastRow="0" w:firstColumn="1" w:lastColumn="0" w:noHBand="0" w:noVBand="1"/>
      </w:tblPr>
      <w:tblGrid>
        <w:gridCol w:w="1555"/>
        <w:gridCol w:w="2126"/>
        <w:gridCol w:w="1984"/>
        <w:gridCol w:w="1842"/>
        <w:gridCol w:w="1842"/>
        <w:gridCol w:w="1532"/>
      </w:tblGrid>
      <w:tr w:rsidR="00A75974" w:rsidRPr="00110003" w14:paraId="0A16DEB8" w14:textId="77777777" w:rsidTr="000473D9">
        <w:trPr>
          <w:gridAfter w:val="1"/>
          <w:wAfter w:w="1532" w:type="dxa"/>
          <w:trHeight w:val="290"/>
        </w:trPr>
        <w:tc>
          <w:tcPr>
            <w:tcW w:w="1555" w:type="dxa"/>
            <w:tcBorders>
              <w:top w:val="single" w:sz="4" w:space="0" w:color="auto"/>
              <w:left w:val="single" w:sz="4" w:space="0" w:color="auto"/>
              <w:bottom w:val="single" w:sz="4" w:space="0" w:color="auto"/>
              <w:right w:val="single" w:sz="4" w:space="0" w:color="auto"/>
            </w:tcBorders>
            <w:noWrap/>
            <w:hideMark/>
          </w:tcPr>
          <w:p w14:paraId="729D012F" w14:textId="77777777" w:rsidR="00A75974" w:rsidRPr="00110003" w:rsidRDefault="00A75974" w:rsidP="000473D9">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Student Group*</w:t>
            </w:r>
          </w:p>
        </w:tc>
        <w:tc>
          <w:tcPr>
            <w:tcW w:w="2126" w:type="dxa"/>
            <w:tcBorders>
              <w:top w:val="single" w:sz="4" w:space="0" w:color="auto"/>
              <w:left w:val="single" w:sz="4" w:space="0" w:color="auto"/>
              <w:bottom w:val="single" w:sz="4" w:space="0" w:color="auto"/>
              <w:right w:val="single" w:sz="4" w:space="0" w:color="auto"/>
            </w:tcBorders>
            <w:noWrap/>
            <w:hideMark/>
          </w:tcPr>
          <w:p w14:paraId="0C434E0E" w14:textId="77777777" w:rsidR="00A75974" w:rsidRPr="00110003" w:rsidRDefault="00A75974" w:rsidP="000473D9">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Finance Group*</w:t>
            </w:r>
          </w:p>
        </w:tc>
        <w:tc>
          <w:tcPr>
            <w:tcW w:w="1984" w:type="dxa"/>
            <w:tcBorders>
              <w:top w:val="single" w:sz="4" w:space="0" w:color="auto"/>
              <w:left w:val="single" w:sz="4" w:space="0" w:color="auto"/>
              <w:bottom w:val="single" w:sz="4" w:space="0" w:color="auto"/>
              <w:right w:val="single" w:sz="4" w:space="0" w:color="auto"/>
            </w:tcBorders>
          </w:tcPr>
          <w:p w14:paraId="0D162ACF" w14:textId="77777777" w:rsidR="00A75974" w:rsidRPr="00110003" w:rsidRDefault="00A75974" w:rsidP="000473D9">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Size of student body</w:t>
            </w:r>
          </w:p>
        </w:tc>
        <w:tc>
          <w:tcPr>
            <w:tcW w:w="1842" w:type="dxa"/>
            <w:tcBorders>
              <w:top w:val="single" w:sz="4" w:space="0" w:color="auto"/>
              <w:left w:val="single" w:sz="4" w:space="0" w:color="auto"/>
              <w:bottom w:val="single" w:sz="4" w:space="0" w:color="auto"/>
              <w:right w:val="single" w:sz="4" w:space="0" w:color="auto"/>
            </w:tcBorders>
          </w:tcPr>
          <w:p w14:paraId="2674F1C3" w14:textId="77777777" w:rsidR="00A75974" w:rsidRPr="00110003" w:rsidRDefault="00A75974" w:rsidP="000473D9">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L</w:t>
            </w:r>
            <w:r>
              <w:rPr>
                <w:rFonts w:eastAsia="Times New Roman" w:cs="Arial"/>
                <w:color w:val="000000"/>
                <w:kern w:val="0"/>
                <w:sz w:val="16"/>
                <w:szCs w:val="16"/>
                <w:lang w:eastAsia="en-GB"/>
                <w14:ligatures w14:val="none"/>
              </w:rPr>
              <w:t xml:space="preserve">ow </w:t>
            </w:r>
            <w:r w:rsidRPr="00110003">
              <w:rPr>
                <w:rFonts w:eastAsia="Times New Roman" w:cs="Arial"/>
                <w:color w:val="000000"/>
                <w:kern w:val="0"/>
                <w:sz w:val="16"/>
                <w:szCs w:val="16"/>
                <w:lang w:eastAsia="en-GB"/>
                <w14:ligatures w14:val="none"/>
              </w:rPr>
              <w:t>P</w:t>
            </w:r>
            <w:r>
              <w:rPr>
                <w:rFonts w:eastAsia="Times New Roman" w:cs="Arial"/>
                <w:color w:val="000000"/>
                <w:kern w:val="0"/>
                <w:sz w:val="16"/>
                <w:szCs w:val="16"/>
                <w:lang w:eastAsia="en-GB"/>
                <w14:ligatures w14:val="none"/>
              </w:rPr>
              <w:t xml:space="preserve">articipation </w:t>
            </w:r>
            <w:r w:rsidRPr="00110003">
              <w:rPr>
                <w:rFonts w:eastAsia="Times New Roman" w:cs="Arial"/>
                <w:color w:val="000000"/>
                <w:kern w:val="0"/>
                <w:sz w:val="16"/>
                <w:szCs w:val="16"/>
                <w:lang w:eastAsia="en-GB"/>
                <w14:ligatures w14:val="none"/>
              </w:rPr>
              <w:t>N</w:t>
            </w:r>
            <w:r>
              <w:rPr>
                <w:rFonts w:eastAsia="Times New Roman" w:cs="Arial"/>
                <w:color w:val="000000"/>
                <w:kern w:val="0"/>
                <w:sz w:val="16"/>
                <w:szCs w:val="16"/>
                <w:lang w:eastAsia="en-GB"/>
                <w14:ligatures w14:val="none"/>
              </w:rPr>
              <w:t>eighbourhood (LPN)</w:t>
            </w:r>
            <w:r w:rsidRPr="00110003">
              <w:rPr>
                <w:rFonts w:eastAsia="Times New Roman" w:cs="Arial"/>
                <w:color w:val="000000"/>
                <w:kern w:val="0"/>
                <w:sz w:val="16"/>
                <w:szCs w:val="16"/>
                <w:lang w:eastAsia="en-GB"/>
                <w14:ligatures w14:val="none"/>
              </w:rPr>
              <w:t xml:space="preserve"> (</w:t>
            </w:r>
            <w:r w:rsidRPr="00110003">
              <w:rPr>
                <w:rFonts w:eastAsia="Times New Roman" w:cs="Arial"/>
                <w:i/>
                <w:iCs/>
                <w:color w:val="000000"/>
                <w:kern w:val="0"/>
                <w:sz w:val="16"/>
                <w:szCs w:val="16"/>
                <w:lang w:eastAsia="en-GB"/>
                <w14:ligatures w14:val="none"/>
              </w:rPr>
              <w:t>benchmark</w:t>
            </w:r>
            <w:r w:rsidRPr="00110003">
              <w:rPr>
                <w:rFonts w:eastAsia="Times New Roman" w:cs="Arial"/>
                <w:color w:val="000000"/>
                <w:kern w:val="0"/>
                <w:sz w:val="16"/>
                <w:szCs w:val="16"/>
                <w:lang w:eastAsia="en-GB"/>
                <w14:ligatures w14:val="none"/>
              </w:rPr>
              <w:t>)</w:t>
            </w:r>
          </w:p>
        </w:tc>
        <w:tc>
          <w:tcPr>
            <w:tcW w:w="1842" w:type="dxa"/>
            <w:tcBorders>
              <w:top w:val="single" w:sz="4" w:space="0" w:color="auto"/>
              <w:left w:val="single" w:sz="4" w:space="0" w:color="auto"/>
              <w:bottom w:val="single" w:sz="4" w:space="0" w:color="auto"/>
              <w:right w:val="single" w:sz="4" w:space="0" w:color="auto"/>
            </w:tcBorders>
          </w:tcPr>
          <w:p w14:paraId="6F6B7FE8" w14:textId="77777777" w:rsidR="00A75974" w:rsidRPr="00110003" w:rsidRDefault="00A75974" w:rsidP="000473D9">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Designation/ Mission group</w:t>
            </w:r>
          </w:p>
        </w:tc>
      </w:tr>
      <w:tr w:rsidR="00A75974" w:rsidRPr="00110003" w14:paraId="013FE6E3" w14:textId="77777777" w:rsidTr="000473D9">
        <w:trPr>
          <w:trHeight w:val="290"/>
        </w:trPr>
        <w:tc>
          <w:tcPr>
            <w:tcW w:w="1555" w:type="dxa"/>
            <w:tcBorders>
              <w:top w:val="single" w:sz="4" w:space="0" w:color="auto"/>
              <w:left w:val="single" w:sz="4" w:space="0" w:color="auto"/>
              <w:bottom w:val="single" w:sz="4" w:space="0" w:color="auto"/>
              <w:right w:val="single" w:sz="4" w:space="0" w:color="auto"/>
            </w:tcBorders>
            <w:noWrap/>
            <w:vAlign w:val="center"/>
            <w:hideMark/>
          </w:tcPr>
          <w:p w14:paraId="2A6B0100" w14:textId="77777777" w:rsidR="00A75974" w:rsidRPr="00110003" w:rsidRDefault="00A75974" w:rsidP="000473D9">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High tariff</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661233C4" w14:textId="77777777" w:rsidR="00A75974" w:rsidRPr="00110003" w:rsidRDefault="00A75974" w:rsidP="000473D9">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QI £100m-£200m</w:t>
            </w:r>
          </w:p>
        </w:tc>
        <w:tc>
          <w:tcPr>
            <w:tcW w:w="1984" w:type="dxa"/>
            <w:tcBorders>
              <w:top w:val="single" w:sz="4" w:space="0" w:color="auto"/>
              <w:left w:val="nil"/>
              <w:bottom w:val="single" w:sz="4" w:space="0" w:color="auto"/>
              <w:right w:val="single" w:sz="4" w:space="0" w:color="auto"/>
            </w:tcBorders>
          </w:tcPr>
          <w:p w14:paraId="6358CD14" w14:textId="77777777" w:rsidR="00A75974" w:rsidRPr="00110003" w:rsidRDefault="00A75974" w:rsidP="000473D9">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15,001–25,000 students</w:t>
            </w:r>
          </w:p>
        </w:tc>
        <w:tc>
          <w:tcPr>
            <w:tcW w:w="1842" w:type="dxa"/>
            <w:tcBorders>
              <w:top w:val="single" w:sz="4" w:space="0" w:color="auto"/>
              <w:left w:val="single" w:sz="4" w:space="0" w:color="auto"/>
              <w:bottom w:val="single" w:sz="4" w:space="0" w:color="auto"/>
              <w:right w:val="single" w:sz="4" w:space="0" w:color="auto"/>
            </w:tcBorders>
          </w:tcPr>
          <w:p w14:paraId="60C0612A" w14:textId="77777777" w:rsidR="00A75974" w:rsidRPr="00110003" w:rsidRDefault="00A75974" w:rsidP="000473D9">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6.5 (</w:t>
            </w:r>
            <w:r w:rsidRPr="00110003">
              <w:rPr>
                <w:rFonts w:eastAsia="Times New Roman" w:cs="Arial"/>
                <w:i/>
                <w:iCs/>
                <w:color w:val="000000"/>
                <w:kern w:val="0"/>
                <w:sz w:val="16"/>
                <w:szCs w:val="16"/>
                <w:lang w:eastAsia="en-GB"/>
                <w14:ligatures w14:val="none"/>
              </w:rPr>
              <w:t>8.2</w:t>
            </w:r>
            <w:r w:rsidRPr="00110003">
              <w:rPr>
                <w:rFonts w:eastAsia="Times New Roman" w:cs="Arial"/>
                <w:color w:val="000000"/>
                <w:kern w:val="0"/>
                <w:sz w:val="16"/>
                <w:szCs w:val="16"/>
                <w:lang w:eastAsia="en-GB"/>
                <w14:ligatures w14:val="none"/>
              </w:rPr>
              <w:t>)</w:t>
            </w:r>
          </w:p>
        </w:tc>
        <w:tc>
          <w:tcPr>
            <w:tcW w:w="1842" w:type="dxa"/>
            <w:tcBorders>
              <w:top w:val="single" w:sz="4" w:space="0" w:color="auto"/>
              <w:left w:val="single" w:sz="4" w:space="0" w:color="auto"/>
              <w:bottom w:val="single" w:sz="4" w:space="0" w:color="auto"/>
              <w:right w:val="single" w:sz="4" w:space="0" w:color="auto"/>
            </w:tcBorders>
          </w:tcPr>
          <w:p w14:paraId="4F5C6D7C" w14:textId="77777777" w:rsidR="00A75974" w:rsidRPr="00110003" w:rsidRDefault="00A75974" w:rsidP="000473D9">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Research-intensive</w:t>
            </w:r>
          </w:p>
        </w:tc>
        <w:tc>
          <w:tcPr>
            <w:tcW w:w="1532" w:type="dxa"/>
            <w:tcBorders>
              <w:top w:val="nil"/>
              <w:left w:val="single" w:sz="4" w:space="0" w:color="auto"/>
              <w:bottom w:val="nil"/>
              <w:right w:val="nil"/>
            </w:tcBorders>
            <w:noWrap/>
            <w:vAlign w:val="bottom"/>
            <w:hideMark/>
          </w:tcPr>
          <w:p w14:paraId="27E11719" w14:textId="77777777" w:rsidR="00A75974" w:rsidRPr="00110003" w:rsidRDefault="00A75974" w:rsidP="000473D9">
            <w:pPr>
              <w:spacing w:after="0" w:line="240" w:lineRule="auto"/>
              <w:rPr>
                <w:rFonts w:eastAsia="Times New Roman" w:cs="Arial"/>
                <w:color w:val="000000"/>
                <w:kern w:val="0"/>
                <w:sz w:val="16"/>
                <w:szCs w:val="16"/>
                <w:lang w:eastAsia="en-GB"/>
                <w14:ligatures w14:val="none"/>
              </w:rPr>
            </w:pPr>
          </w:p>
        </w:tc>
      </w:tr>
      <w:tr w:rsidR="00A75974" w:rsidRPr="00110003" w14:paraId="67400E38" w14:textId="77777777" w:rsidTr="000473D9">
        <w:trPr>
          <w:trHeight w:val="290"/>
        </w:trPr>
        <w:tc>
          <w:tcPr>
            <w:tcW w:w="1555" w:type="dxa"/>
            <w:tcBorders>
              <w:top w:val="single" w:sz="4" w:space="0" w:color="auto"/>
              <w:left w:val="single" w:sz="4" w:space="0" w:color="auto"/>
              <w:bottom w:val="single" w:sz="4" w:space="0" w:color="auto"/>
              <w:right w:val="single" w:sz="4" w:space="0" w:color="auto"/>
            </w:tcBorders>
            <w:noWrap/>
            <w:vAlign w:val="center"/>
            <w:hideMark/>
          </w:tcPr>
          <w:p w14:paraId="0B894CEA" w14:textId="77777777" w:rsidR="00A75974" w:rsidRPr="00110003" w:rsidRDefault="00A75974" w:rsidP="000473D9">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Medium tariff</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D585433" w14:textId="77777777" w:rsidR="00A75974" w:rsidRPr="00110003" w:rsidRDefault="00A75974" w:rsidP="000473D9">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QI £100m-£200m</w:t>
            </w:r>
          </w:p>
        </w:tc>
        <w:tc>
          <w:tcPr>
            <w:tcW w:w="1984" w:type="dxa"/>
            <w:tcBorders>
              <w:top w:val="single" w:sz="4" w:space="0" w:color="auto"/>
              <w:left w:val="nil"/>
              <w:bottom w:val="single" w:sz="4" w:space="0" w:color="auto"/>
              <w:right w:val="single" w:sz="4" w:space="0" w:color="auto"/>
            </w:tcBorders>
          </w:tcPr>
          <w:p w14:paraId="30A2E76E" w14:textId="77777777" w:rsidR="00A75974" w:rsidRPr="00110003" w:rsidRDefault="00A75974" w:rsidP="000473D9">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More than 25,000 students</w:t>
            </w:r>
          </w:p>
        </w:tc>
        <w:tc>
          <w:tcPr>
            <w:tcW w:w="1842" w:type="dxa"/>
            <w:tcBorders>
              <w:top w:val="single" w:sz="4" w:space="0" w:color="auto"/>
              <w:left w:val="single" w:sz="4" w:space="0" w:color="auto"/>
              <w:bottom w:val="single" w:sz="4" w:space="0" w:color="auto"/>
              <w:right w:val="single" w:sz="4" w:space="0" w:color="auto"/>
            </w:tcBorders>
          </w:tcPr>
          <w:p w14:paraId="7495404F" w14:textId="77777777" w:rsidR="00A75974" w:rsidRPr="00110003" w:rsidRDefault="00A75974" w:rsidP="000473D9">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6.2 (</w:t>
            </w:r>
            <w:r w:rsidRPr="00110003">
              <w:rPr>
                <w:rFonts w:eastAsia="Times New Roman" w:cs="Arial"/>
                <w:i/>
                <w:iCs/>
                <w:color w:val="000000"/>
                <w:kern w:val="0"/>
                <w:sz w:val="16"/>
                <w:szCs w:val="16"/>
                <w:lang w:eastAsia="en-GB"/>
                <w14:ligatures w14:val="none"/>
              </w:rPr>
              <w:t>5.9</w:t>
            </w:r>
            <w:r w:rsidRPr="00110003">
              <w:rPr>
                <w:rFonts w:eastAsia="Times New Roman" w:cs="Arial"/>
                <w:color w:val="000000"/>
                <w:kern w:val="0"/>
                <w:sz w:val="16"/>
                <w:szCs w:val="16"/>
                <w:lang w:eastAsia="en-GB"/>
                <w14:ligatures w14:val="none"/>
              </w:rPr>
              <w:t>)</w:t>
            </w:r>
          </w:p>
        </w:tc>
        <w:tc>
          <w:tcPr>
            <w:tcW w:w="1842" w:type="dxa"/>
            <w:tcBorders>
              <w:top w:val="single" w:sz="4" w:space="0" w:color="auto"/>
              <w:left w:val="single" w:sz="4" w:space="0" w:color="auto"/>
              <w:bottom w:val="single" w:sz="4" w:space="0" w:color="auto"/>
              <w:right w:val="single" w:sz="4" w:space="0" w:color="auto"/>
            </w:tcBorders>
          </w:tcPr>
          <w:p w14:paraId="1CD11AFD" w14:textId="77777777" w:rsidR="00A75974" w:rsidRPr="00110003" w:rsidRDefault="00A75974" w:rsidP="000473D9">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Post-92/Million+</w:t>
            </w:r>
          </w:p>
        </w:tc>
        <w:tc>
          <w:tcPr>
            <w:tcW w:w="1532" w:type="dxa"/>
            <w:tcBorders>
              <w:top w:val="nil"/>
              <w:left w:val="single" w:sz="4" w:space="0" w:color="auto"/>
              <w:bottom w:val="nil"/>
              <w:right w:val="nil"/>
            </w:tcBorders>
            <w:noWrap/>
            <w:vAlign w:val="bottom"/>
            <w:hideMark/>
          </w:tcPr>
          <w:p w14:paraId="1D051695" w14:textId="77777777" w:rsidR="00A75974" w:rsidRPr="00110003" w:rsidRDefault="00A75974" w:rsidP="000473D9">
            <w:pPr>
              <w:spacing w:after="0" w:line="240" w:lineRule="auto"/>
              <w:rPr>
                <w:rFonts w:eastAsia="Times New Roman" w:cs="Arial"/>
                <w:color w:val="000000"/>
                <w:kern w:val="0"/>
                <w:sz w:val="16"/>
                <w:szCs w:val="16"/>
                <w:lang w:eastAsia="en-GB"/>
                <w14:ligatures w14:val="none"/>
              </w:rPr>
            </w:pPr>
          </w:p>
        </w:tc>
      </w:tr>
      <w:tr w:rsidR="00A75974" w:rsidRPr="00110003" w14:paraId="6C762646" w14:textId="77777777" w:rsidTr="000473D9">
        <w:trPr>
          <w:trHeight w:val="290"/>
        </w:trPr>
        <w:tc>
          <w:tcPr>
            <w:tcW w:w="1555" w:type="dxa"/>
            <w:tcBorders>
              <w:top w:val="single" w:sz="4" w:space="0" w:color="auto"/>
              <w:left w:val="single" w:sz="4" w:space="0" w:color="auto"/>
              <w:bottom w:val="single" w:sz="4" w:space="0" w:color="auto"/>
              <w:right w:val="single" w:sz="4" w:space="0" w:color="auto"/>
            </w:tcBorders>
            <w:noWrap/>
            <w:vAlign w:val="center"/>
            <w:hideMark/>
          </w:tcPr>
          <w:p w14:paraId="1F6E6E1C" w14:textId="77777777" w:rsidR="00A75974" w:rsidRPr="00110003" w:rsidRDefault="00A75974" w:rsidP="000473D9">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Medium tariff</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6A82F3FF" w14:textId="77777777" w:rsidR="00A75974" w:rsidRPr="00110003" w:rsidRDefault="00A75974" w:rsidP="000473D9">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QI over £200m and less than 70% of income</w:t>
            </w:r>
          </w:p>
        </w:tc>
        <w:tc>
          <w:tcPr>
            <w:tcW w:w="1984" w:type="dxa"/>
            <w:tcBorders>
              <w:top w:val="single" w:sz="4" w:space="0" w:color="auto"/>
              <w:left w:val="nil"/>
              <w:bottom w:val="single" w:sz="4" w:space="0" w:color="auto"/>
              <w:right w:val="single" w:sz="4" w:space="0" w:color="auto"/>
            </w:tcBorders>
          </w:tcPr>
          <w:p w14:paraId="3CD776F2" w14:textId="77777777" w:rsidR="00A75974" w:rsidRPr="00110003" w:rsidRDefault="00A75974" w:rsidP="000473D9">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15,001–25,000 students</w:t>
            </w:r>
          </w:p>
        </w:tc>
        <w:tc>
          <w:tcPr>
            <w:tcW w:w="1842" w:type="dxa"/>
            <w:tcBorders>
              <w:top w:val="single" w:sz="4" w:space="0" w:color="auto"/>
              <w:left w:val="single" w:sz="4" w:space="0" w:color="auto"/>
              <w:bottom w:val="single" w:sz="4" w:space="0" w:color="auto"/>
              <w:right w:val="single" w:sz="4" w:space="0" w:color="auto"/>
            </w:tcBorders>
          </w:tcPr>
          <w:p w14:paraId="30FAFEAD" w14:textId="77777777" w:rsidR="00A75974" w:rsidRPr="00110003" w:rsidRDefault="00A75974" w:rsidP="000473D9">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8.9 (</w:t>
            </w:r>
            <w:r w:rsidRPr="00110003">
              <w:rPr>
                <w:rFonts w:eastAsia="Times New Roman" w:cs="Arial"/>
                <w:i/>
                <w:iCs/>
                <w:color w:val="000000"/>
                <w:kern w:val="0"/>
                <w:sz w:val="16"/>
                <w:szCs w:val="16"/>
                <w:lang w:eastAsia="en-GB"/>
                <w14:ligatures w14:val="none"/>
              </w:rPr>
              <w:t>8.2</w:t>
            </w:r>
            <w:r w:rsidRPr="00110003">
              <w:rPr>
                <w:rFonts w:eastAsia="Times New Roman" w:cs="Arial"/>
                <w:color w:val="000000"/>
                <w:kern w:val="0"/>
                <w:sz w:val="16"/>
                <w:szCs w:val="16"/>
                <w:lang w:eastAsia="en-GB"/>
                <w14:ligatures w14:val="none"/>
              </w:rPr>
              <w:t>)</w:t>
            </w:r>
          </w:p>
        </w:tc>
        <w:tc>
          <w:tcPr>
            <w:tcW w:w="1842" w:type="dxa"/>
            <w:tcBorders>
              <w:top w:val="single" w:sz="4" w:space="0" w:color="auto"/>
              <w:left w:val="single" w:sz="4" w:space="0" w:color="auto"/>
              <w:bottom w:val="single" w:sz="4" w:space="0" w:color="auto"/>
              <w:right w:val="single" w:sz="4" w:space="0" w:color="auto"/>
            </w:tcBorders>
          </w:tcPr>
          <w:p w14:paraId="280907BE" w14:textId="77777777" w:rsidR="00A75974" w:rsidRPr="00110003" w:rsidRDefault="00A75974" w:rsidP="000473D9">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Research-intensive</w:t>
            </w:r>
          </w:p>
        </w:tc>
        <w:tc>
          <w:tcPr>
            <w:tcW w:w="1532" w:type="dxa"/>
            <w:tcBorders>
              <w:top w:val="nil"/>
              <w:left w:val="single" w:sz="4" w:space="0" w:color="auto"/>
              <w:bottom w:val="nil"/>
              <w:right w:val="nil"/>
            </w:tcBorders>
            <w:noWrap/>
            <w:vAlign w:val="bottom"/>
            <w:hideMark/>
          </w:tcPr>
          <w:p w14:paraId="7D7AD624" w14:textId="77777777" w:rsidR="00A75974" w:rsidRPr="00110003" w:rsidRDefault="00A75974" w:rsidP="000473D9">
            <w:pPr>
              <w:spacing w:after="0" w:line="240" w:lineRule="auto"/>
              <w:rPr>
                <w:rFonts w:eastAsia="Times New Roman" w:cs="Arial"/>
                <w:color w:val="000000"/>
                <w:kern w:val="0"/>
                <w:sz w:val="16"/>
                <w:szCs w:val="16"/>
                <w:lang w:eastAsia="en-GB"/>
                <w14:ligatures w14:val="none"/>
              </w:rPr>
            </w:pPr>
          </w:p>
        </w:tc>
      </w:tr>
      <w:tr w:rsidR="00A75974" w:rsidRPr="00110003" w14:paraId="5E72524C" w14:textId="77777777" w:rsidTr="000473D9">
        <w:trPr>
          <w:trHeight w:val="290"/>
        </w:trPr>
        <w:tc>
          <w:tcPr>
            <w:tcW w:w="1555" w:type="dxa"/>
            <w:tcBorders>
              <w:top w:val="single" w:sz="4" w:space="0" w:color="auto"/>
              <w:left w:val="single" w:sz="4" w:space="0" w:color="auto"/>
              <w:bottom w:val="single" w:sz="4" w:space="0" w:color="auto"/>
              <w:right w:val="single" w:sz="4" w:space="0" w:color="auto"/>
            </w:tcBorders>
            <w:noWrap/>
            <w:vAlign w:val="center"/>
            <w:hideMark/>
          </w:tcPr>
          <w:p w14:paraId="0BA74DBC" w14:textId="77777777" w:rsidR="00A75974" w:rsidRPr="00110003" w:rsidRDefault="00A75974" w:rsidP="000473D9">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Low tariff</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C5DD3FB" w14:textId="77777777" w:rsidR="00A75974" w:rsidRPr="00110003" w:rsidRDefault="00A75974" w:rsidP="000473D9">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QI over £200m and over 70% of income</w:t>
            </w:r>
          </w:p>
        </w:tc>
        <w:tc>
          <w:tcPr>
            <w:tcW w:w="1984" w:type="dxa"/>
            <w:tcBorders>
              <w:top w:val="single" w:sz="4" w:space="0" w:color="auto"/>
              <w:left w:val="nil"/>
              <w:bottom w:val="single" w:sz="4" w:space="0" w:color="auto"/>
              <w:right w:val="single" w:sz="4" w:space="0" w:color="auto"/>
            </w:tcBorders>
          </w:tcPr>
          <w:p w14:paraId="2699FDE1" w14:textId="77777777" w:rsidR="00A75974" w:rsidRPr="00110003" w:rsidRDefault="00A75974" w:rsidP="000473D9">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More than 25,000 students</w:t>
            </w:r>
          </w:p>
        </w:tc>
        <w:tc>
          <w:tcPr>
            <w:tcW w:w="1842" w:type="dxa"/>
            <w:tcBorders>
              <w:top w:val="single" w:sz="4" w:space="0" w:color="auto"/>
              <w:left w:val="single" w:sz="4" w:space="0" w:color="auto"/>
              <w:bottom w:val="single" w:sz="4" w:space="0" w:color="auto"/>
              <w:right w:val="single" w:sz="4" w:space="0" w:color="auto"/>
            </w:tcBorders>
          </w:tcPr>
          <w:p w14:paraId="7CAD7554" w14:textId="77777777" w:rsidR="00A75974" w:rsidRPr="00110003" w:rsidRDefault="00A75974" w:rsidP="000473D9">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7.2 (</w:t>
            </w:r>
            <w:r w:rsidRPr="00110003">
              <w:rPr>
                <w:rFonts w:eastAsia="Times New Roman" w:cs="Arial"/>
                <w:i/>
                <w:iCs/>
                <w:color w:val="000000"/>
                <w:kern w:val="0"/>
                <w:sz w:val="16"/>
                <w:szCs w:val="16"/>
                <w:lang w:eastAsia="en-GB"/>
                <w14:ligatures w14:val="none"/>
              </w:rPr>
              <w:t>10.0</w:t>
            </w:r>
            <w:r w:rsidRPr="00110003">
              <w:rPr>
                <w:rFonts w:eastAsia="Times New Roman" w:cs="Arial"/>
                <w:color w:val="000000"/>
                <w:kern w:val="0"/>
                <w:sz w:val="16"/>
                <w:szCs w:val="16"/>
                <w:lang w:eastAsia="en-GB"/>
                <w14:ligatures w14:val="none"/>
              </w:rPr>
              <w:t>)</w:t>
            </w:r>
          </w:p>
        </w:tc>
        <w:tc>
          <w:tcPr>
            <w:tcW w:w="1842" w:type="dxa"/>
            <w:tcBorders>
              <w:top w:val="single" w:sz="4" w:space="0" w:color="auto"/>
              <w:left w:val="single" w:sz="4" w:space="0" w:color="auto"/>
              <w:bottom w:val="single" w:sz="4" w:space="0" w:color="auto"/>
              <w:right w:val="single" w:sz="4" w:space="0" w:color="auto"/>
            </w:tcBorders>
          </w:tcPr>
          <w:p w14:paraId="257B1A7E" w14:textId="77777777" w:rsidR="00A75974" w:rsidRPr="00110003" w:rsidRDefault="00A75974" w:rsidP="000473D9">
            <w:pPr>
              <w:spacing w:after="0" w:line="240" w:lineRule="auto"/>
              <w:jc w:val="center"/>
              <w:rPr>
                <w:rFonts w:eastAsia="Times New Roman" w:cs="Arial"/>
                <w:color w:val="000000"/>
                <w:kern w:val="0"/>
                <w:sz w:val="16"/>
                <w:szCs w:val="16"/>
                <w:lang w:eastAsia="en-GB"/>
                <w14:ligatures w14:val="none"/>
              </w:rPr>
            </w:pPr>
            <w:r w:rsidRPr="001E42F6">
              <w:rPr>
                <w:color w:val="000000"/>
                <w:kern w:val="0"/>
                <w:sz w:val="16"/>
                <w14:ligatures w14:val="none"/>
              </w:rPr>
              <w:t>Post-92/University Alliance</w:t>
            </w:r>
          </w:p>
        </w:tc>
        <w:tc>
          <w:tcPr>
            <w:tcW w:w="1532" w:type="dxa"/>
            <w:tcBorders>
              <w:top w:val="nil"/>
              <w:left w:val="single" w:sz="4" w:space="0" w:color="auto"/>
              <w:bottom w:val="nil"/>
              <w:right w:val="nil"/>
            </w:tcBorders>
            <w:noWrap/>
            <w:vAlign w:val="bottom"/>
            <w:hideMark/>
          </w:tcPr>
          <w:p w14:paraId="7EB41ABA" w14:textId="77777777" w:rsidR="00A75974" w:rsidRPr="00110003" w:rsidRDefault="00A75974" w:rsidP="000473D9">
            <w:pPr>
              <w:spacing w:after="0" w:line="240" w:lineRule="auto"/>
              <w:rPr>
                <w:rFonts w:eastAsia="Times New Roman" w:cs="Arial"/>
                <w:color w:val="000000"/>
                <w:kern w:val="0"/>
                <w:sz w:val="16"/>
                <w:szCs w:val="16"/>
                <w:lang w:eastAsia="en-GB"/>
                <w14:ligatures w14:val="none"/>
              </w:rPr>
            </w:pPr>
          </w:p>
        </w:tc>
      </w:tr>
      <w:tr w:rsidR="00A75974" w:rsidRPr="00110003" w14:paraId="7D24376A" w14:textId="77777777" w:rsidTr="000473D9">
        <w:trPr>
          <w:trHeight w:val="290"/>
        </w:trPr>
        <w:tc>
          <w:tcPr>
            <w:tcW w:w="1555" w:type="dxa"/>
            <w:tcBorders>
              <w:top w:val="single" w:sz="4" w:space="0" w:color="auto"/>
              <w:left w:val="single" w:sz="4" w:space="0" w:color="auto"/>
              <w:bottom w:val="single" w:sz="4" w:space="0" w:color="auto"/>
              <w:right w:val="single" w:sz="4" w:space="0" w:color="auto"/>
            </w:tcBorders>
            <w:noWrap/>
            <w:vAlign w:val="center"/>
            <w:hideMark/>
          </w:tcPr>
          <w:p w14:paraId="62CC09D8" w14:textId="77777777" w:rsidR="00A75974" w:rsidRPr="00110003" w:rsidRDefault="00A75974" w:rsidP="000473D9">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Specialist: creative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48A29450" w14:textId="77777777" w:rsidR="00A75974" w:rsidRPr="00110003" w:rsidRDefault="00A75974" w:rsidP="000473D9">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Specialist: creative</w:t>
            </w:r>
          </w:p>
        </w:tc>
        <w:tc>
          <w:tcPr>
            <w:tcW w:w="1984" w:type="dxa"/>
            <w:tcBorders>
              <w:top w:val="single" w:sz="4" w:space="0" w:color="auto"/>
              <w:left w:val="nil"/>
              <w:bottom w:val="single" w:sz="4" w:space="0" w:color="auto"/>
              <w:right w:val="single" w:sz="4" w:space="0" w:color="auto"/>
            </w:tcBorders>
          </w:tcPr>
          <w:p w14:paraId="202089AC" w14:textId="77777777" w:rsidR="00A75974" w:rsidRPr="00110003" w:rsidRDefault="00A75974" w:rsidP="000473D9">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Fewer than 5,000 students</w:t>
            </w:r>
          </w:p>
        </w:tc>
        <w:tc>
          <w:tcPr>
            <w:tcW w:w="1842" w:type="dxa"/>
            <w:tcBorders>
              <w:top w:val="single" w:sz="4" w:space="0" w:color="auto"/>
              <w:left w:val="single" w:sz="4" w:space="0" w:color="auto"/>
              <w:bottom w:val="single" w:sz="4" w:space="0" w:color="auto"/>
              <w:right w:val="single" w:sz="4" w:space="0" w:color="auto"/>
            </w:tcBorders>
          </w:tcPr>
          <w:p w14:paraId="1B4E3F56" w14:textId="77777777" w:rsidR="00A75974" w:rsidRPr="00110003" w:rsidRDefault="00A75974" w:rsidP="000473D9">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13.3 (15.0)</w:t>
            </w:r>
          </w:p>
        </w:tc>
        <w:tc>
          <w:tcPr>
            <w:tcW w:w="1842" w:type="dxa"/>
            <w:tcBorders>
              <w:top w:val="single" w:sz="4" w:space="0" w:color="auto"/>
              <w:left w:val="single" w:sz="4" w:space="0" w:color="auto"/>
              <w:bottom w:val="single" w:sz="4" w:space="0" w:color="auto"/>
              <w:right w:val="single" w:sz="4" w:space="0" w:color="auto"/>
            </w:tcBorders>
          </w:tcPr>
          <w:p w14:paraId="23E09465" w14:textId="77777777" w:rsidR="00A75974" w:rsidRPr="00110003" w:rsidRDefault="00A75974" w:rsidP="000473D9">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Conservatoire</w:t>
            </w:r>
          </w:p>
        </w:tc>
        <w:tc>
          <w:tcPr>
            <w:tcW w:w="1532" w:type="dxa"/>
            <w:tcBorders>
              <w:top w:val="nil"/>
              <w:left w:val="single" w:sz="4" w:space="0" w:color="auto"/>
              <w:bottom w:val="nil"/>
              <w:right w:val="nil"/>
            </w:tcBorders>
            <w:noWrap/>
            <w:vAlign w:val="bottom"/>
            <w:hideMark/>
          </w:tcPr>
          <w:p w14:paraId="79A9AB79" w14:textId="77777777" w:rsidR="00A75974" w:rsidRPr="00110003" w:rsidRDefault="00A75974" w:rsidP="000473D9">
            <w:pPr>
              <w:spacing w:after="0" w:line="240" w:lineRule="auto"/>
              <w:rPr>
                <w:rFonts w:eastAsia="Times New Roman" w:cs="Arial"/>
                <w:color w:val="000000"/>
                <w:kern w:val="0"/>
                <w:sz w:val="16"/>
                <w:szCs w:val="16"/>
                <w:lang w:eastAsia="en-GB"/>
                <w14:ligatures w14:val="none"/>
              </w:rPr>
            </w:pPr>
          </w:p>
        </w:tc>
      </w:tr>
      <w:tr w:rsidR="00A75974" w:rsidRPr="00110003" w14:paraId="1FAB3733" w14:textId="77777777" w:rsidTr="000473D9">
        <w:trPr>
          <w:trHeight w:val="290"/>
        </w:trPr>
        <w:tc>
          <w:tcPr>
            <w:tcW w:w="1555" w:type="dxa"/>
            <w:tcBorders>
              <w:top w:val="single" w:sz="4" w:space="0" w:color="auto"/>
              <w:left w:val="single" w:sz="4" w:space="0" w:color="auto"/>
              <w:bottom w:val="single" w:sz="4" w:space="0" w:color="auto"/>
              <w:right w:val="single" w:sz="4" w:space="0" w:color="auto"/>
            </w:tcBorders>
            <w:noWrap/>
            <w:vAlign w:val="center"/>
            <w:hideMark/>
          </w:tcPr>
          <w:p w14:paraId="716EE473" w14:textId="77777777" w:rsidR="00A75974" w:rsidRPr="00110003" w:rsidRDefault="00A75974" w:rsidP="000473D9">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Specialist: other</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463F1539" w14:textId="77777777" w:rsidR="00A75974" w:rsidRPr="00110003" w:rsidRDefault="00A75974" w:rsidP="000473D9">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Specialist: other</w:t>
            </w:r>
          </w:p>
        </w:tc>
        <w:tc>
          <w:tcPr>
            <w:tcW w:w="1984" w:type="dxa"/>
            <w:tcBorders>
              <w:top w:val="single" w:sz="4" w:space="0" w:color="auto"/>
              <w:left w:val="nil"/>
              <w:bottom w:val="single" w:sz="4" w:space="0" w:color="auto"/>
              <w:right w:val="single" w:sz="4" w:space="0" w:color="auto"/>
            </w:tcBorders>
          </w:tcPr>
          <w:p w14:paraId="7D1E18E0" w14:textId="77777777" w:rsidR="00A75974" w:rsidRPr="00110003" w:rsidRDefault="00A75974" w:rsidP="000473D9">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15,001–25,000 students</w:t>
            </w:r>
          </w:p>
        </w:tc>
        <w:tc>
          <w:tcPr>
            <w:tcW w:w="1842" w:type="dxa"/>
            <w:tcBorders>
              <w:top w:val="single" w:sz="4" w:space="0" w:color="auto"/>
              <w:left w:val="single" w:sz="4" w:space="0" w:color="auto"/>
              <w:bottom w:val="single" w:sz="4" w:space="0" w:color="auto"/>
              <w:right w:val="single" w:sz="4" w:space="0" w:color="auto"/>
            </w:tcBorders>
          </w:tcPr>
          <w:p w14:paraId="06AD3C2B" w14:textId="77777777" w:rsidR="00A75974" w:rsidRPr="00110003" w:rsidRDefault="00A75974" w:rsidP="000473D9">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15 (</w:t>
            </w:r>
            <w:r w:rsidRPr="00110003">
              <w:rPr>
                <w:rFonts w:eastAsia="Times New Roman" w:cs="Arial"/>
                <w:i/>
                <w:iCs/>
                <w:color w:val="000000"/>
                <w:kern w:val="0"/>
                <w:sz w:val="16"/>
                <w:szCs w:val="16"/>
                <w:lang w:eastAsia="en-GB"/>
                <w14:ligatures w14:val="none"/>
              </w:rPr>
              <w:t>14.2</w:t>
            </w:r>
            <w:r w:rsidRPr="00110003">
              <w:rPr>
                <w:rFonts w:eastAsia="Times New Roman" w:cs="Arial"/>
                <w:color w:val="000000"/>
                <w:kern w:val="0"/>
                <w:sz w:val="16"/>
                <w:szCs w:val="16"/>
                <w:lang w:eastAsia="en-GB"/>
                <w14:ligatures w14:val="none"/>
              </w:rPr>
              <w:t>)</w:t>
            </w:r>
          </w:p>
        </w:tc>
        <w:tc>
          <w:tcPr>
            <w:tcW w:w="1842" w:type="dxa"/>
            <w:tcBorders>
              <w:top w:val="single" w:sz="4" w:space="0" w:color="auto"/>
              <w:left w:val="single" w:sz="4" w:space="0" w:color="auto"/>
              <w:bottom w:val="single" w:sz="4" w:space="0" w:color="auto"/>
              <w:right w:val="single" w:sz="4" w:space="0" w:color="auto"/>
            </w:tcBorders>
          </w:tcPr>
          <w:p w14:paraId="3EE9FB96" w14:textId="77777777" w:rsidR="00A75974" w:rsidRPr="00110003" w:rsidRDefault="00A75974" w:rsidP="000473D9">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Private provider</w:t>
            </w:r>
          </w:p>
        </w:tc>
        <w:tc>
          <w:tcPr>
            <w:tcW w:w="1532" w:type="dxa"/>
            <w:tcBorders>
              <w:top w:val="nil"/>
              <w:left w:val="single" w:sz="4" w:space="0" w:color="auto"/>
              <w:bottom w:val="nil"/>
              <w:right w:val="nil"/>
            </w:tcBorders>
            <w:noWrap/>
            <w:vAlign w:val="bottom"/>
            <w:hideMark/>
          </w:tcPr>
          <w:p w14:paraId="31658BA6" w14:textId="77777777" w:rsidR="00A75974" w:rsidRPr="00110003" w:rsidRDefault="00A75974" w:rsidP="000473D9">
            <w:pPr>
              <w:spacing w:after="0" w:line="240" w:lineRule="auto"/>
              <w:rPr>
                <w:rFonts w:eastAsia="Times New Roman" w:cs="Arial"/>
                <w:color w:val="000000"/>
                <w:kern w:val="0"/>
                <w:sz w:val="16"/>
                <w:szCs w:val="16"/>
                <w:lang w:eastAsia="en-GB"/>
                <w14:ligatures w14:val="none"/>
              </w:rPr>
            </w:pPr>
          </w:p>
        </w:tc>
      </w:tr>
      <w:tr w:rsidR="00A75974" w:rsidRPr="00110003" w14:paraId="2986B871" w14:textId="77777777" w:rsidTr="000473D9">
        <w:trPr>
          <w:trHeight w:val="290"/>
        </w:trPr>
        <w:tc>
          <w:tcPr>
            <w:tcW w:w="1555" w:type="dxa"/>
            <w:tcBorders>
              <w:top w:val="single" w:sz="4" w:space="0" w:color="auto"/>
              <w:left w:val="single" w:sz="4" w:space="0" w:color="auto"/>
              <w:bottom w:val="single" w:sz="4" w:space="0" w:color="auto"/>
              <w:right w:val="single" w:sz="4" w:space="0" w:color="auto"/>
            </w:tcBorders>
            <w:noWrap/>
            <w:vAlign w:val="center"/>
          </w:tcPr>
          <w:p w14:paraId="0671557B" w14:textId="77777777" w:rsidR="00A75974" w:rsidRPr="00110003" w:rsidRDefault="00A75974" w:rsidP="000473D9">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High tariff</w:t>
            </w:r>
          </w:p>
        </w:tc>
        <w:tc>
          <w:tcPr>
            <w:tcW w:w="2126" w:type="dxa"/>
            <w:tcBorders>
              <w:top w:val="single" w:sz="4" w:space="0" w:color="auto"/>
              <w:left w:val="single" w:sz="4" w:space="0" w:color="auto"/>
              <w:bottom w:val="single" w:sz="4" w:space="0" w:color="auto"/>
              <w:right w:val="single" w:sz="4" w:space="0" w:color="auto"/>
            </w:tcBorders>
            <w:noWrap/>
            <w:vAlign w:val="center"/>
          </w:tcPr>
          <w:p w14:paraId="44E8FAC4" w14:textId="77777777" w:rsidR="00A75974" w:rsidRPr="00110003" w:rsidRDefault="00A75974" w:rsidP="000473D9">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QI over £200m and less than 70% of income</w:t>
            </w:r>
          </w:p>
        </w:tc>
        <w:tc>
          <w:tcPr>
            <w:tcW w:w="1984" w:type="dxa"/>
            <w:tcBorders>
              <w:top w:val="single" w:sz="4" w:space="0" w:color="auto"/>
              <w:left w:val="nil"/>
              <w:bottom w:val="single" w:sz="4" w:space="0" w:color="auto"/>
              <w:right w:val="single" w:sz="4" w:space="0" w:color="auto"/>
            </w:tcBorders>
          </w:tcPr>
          <w:p w14:paraId="38E91C0D" w14:textId="77777777" w:rsidR="00A75974" w:rsidRPr="00110003" w:rsidRDefault="00A75974" w:rsidP="000473D9">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10,001–15,000 students</w:t>
            </w:r>
          </w:p>
        </w:tc>
        <w:tc>
          <w:tcPr>
            <w:tcW w:w="1842" w:type="dxa"/>
            <w:tcBorders>
              <w:top w:val="single" w:sz="4" w:space="0" w:color="auto"/>
              <w:left w:val="single" w:sz="4" w:space="0" w:color="auto"/>
              <w:bottom w:val="single" w:sz="4" w:space="0" w:color="auto"/>
              <w:right w:val="single" w:sz="4" w:space="0" w:color="auto"/>
            </w:tcBorders>
          </w:tcPr>
          <w:p w14:paraId="61E5F94F" w14:textId="77777777" w:rsidR="00A75974" w:rsidRPr="00110003" w:rsidRDefault="00A75974" w:rsidP="000473D9">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7 (3.9)</w:t>
            </w:r>
          </w:p>
        </w:tc>
        <w:tc>
          <w:tcPr>
            <w:tcW w:w="1842" w:type="dxa"/>
            <w:tcBorders>
              <w:top w:val="single" w:sz="4" w:space="0" w:color="auto"/>
              <w:left w:val="single" w:sz="4" w:space="0" w:color="auto"/>
              <w:bottom w:val="single" w:sz="4" w:space="0" w:color="auto"/>
              <w:right w:val="single" w:sz="4" w:space="0" w:color="auto"/>
            </w:tcBorders>
          </w:tcPr>
          <w:p w14:paraId="4E9A3CB1" w14:textId="77777777" w:rsidR="00A75974" w:rsidRPr="00110003" w:rsidRDefault="00A75974" w:rsidP="000473D9">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Research-intensive</w:t>
            </w:r>
            <w:r w:rsidRPr="00110003">
              <w:rPr>
                <w:rFonts w:eastAsia="Times New Roman" w:cs="Arial"/>
                <w:color w:val="000000"/>
                <w:kern w:val="0"/>
                <w:sz w:val="16"/>
                <w:szCs w:val="16"/>
                <w:lang w:eastAsia="en-GB"/>
                <w14:ligatures w14:val="none"/>
              </w:rPr>
              <w:br/>
              <w:t>Russell Group</w:t>
            </w:r>
          </w:p>
        </w:tc>
        <w:tc>
          <w:tcPr>
            <w:tcW w:w="1532" w:type="dxa"/>
            <w:tcBorders>
              <w:top w:val="nil"/>
              <w:left w:val="single" w:sz="4" w:space="0" w:color="auto"/>
              <w:bottom w:val="nil"/>
              <w:right w:val="nil"/>
            </w:tcBorders>
            <w:noWrap/>
            <w:vAlign w:val="bottom"/>
          </w:tcPr>
          <w:p w14:paraId="0E1728D9" w14:textId="77777777" w:rsidR="00A75974" w:rsidRPr="00110003" w:rsidRDefault="00A75974" w:rsidP="000473D9">
            <w:pPr>
              <w:spacing w:after="0" w:line="240" w:lineRule="auto"/>
              <w:rPr>
                <w:rFonts w:eastAsia="Times New Roman" w:cs="Arial"/>
                <w:color w:val="000000"/>
                <w:kern w:val="0"/>
                <w:sz w:val="16"/>
                <w:szCs w:val="16"/>
                <w:lang w:eastAsia="en-GB"/>
                <w14:ligatures w14:val="none"/>
              </w:rPr>
            </w:pPr>
          </w:p>
        </w:tc>
      </w:tr>
    </w:tbl>
    <w:p w14:paraId="305E95F4" w14:textId="77777777" w:rsidR="00A75974" w:rsidRPr="00171B1C" w:rsidRDefault="00A75974" w:rsidP="00A75974">
      <w:pPr>
        <w:rPr>
          <w:color w:val="000000"/>
          <w:kern w:val="0"/>
          <w:sz w:val="18"/>
          <w14:ligatures w14:val="none"/>
        </w:rPr>
      </w:pPr>
      <w:r w:rsidRPr="00171B1C">
        <w:rPr>
          <w:color w:val="000000"/>
          <w:kern w:val="0"/>
          <w:sz w:val="18"/>
          <w14:ligatures w14:val="none"/>
        </w:rPr>
        <w:t>*</w:t>
      </w:r>
      <w:proofErr w:type="spellStart"/>
      <w:r w:rsidRPr="00171B1C">
        <w:rPr>
          <w:color w:val="000000"/>
          <w:kern w:val="0"/>
          <w:sz w:val="18"/>
          <w14:ligatures w14:val="none"/>
        </w:rPr>
        <w:t>OfS</w:t>
      </w:r>
      <w:proofErr w:type="spellEnd"/>
      <w:r w:rsidRPr="00171B1C">
        <w:rPr>
          <w:color w:val="000000"/>
          <w:kern w:val="0"/>
          <w:sz w:val="18"/>
          <w14:ligatures w14:val="none"/>
        </w:rPr>
        <w:t xml:space="preserve"> categorisation</w:t>
      </w:r>
    </w:p>
    <w:p w14:paraId="46DCCFDA" w14:textId="2EA49E65" w:rsidR="00A75974" w:rsidRDefault="00A75974" w:rsidP="00A75974">
      <w:r>
        <w:t xml:space="preserve">In the first stage of the research the partners took part in an initiation meeting in January 2025, at which the project was discussed. Colleagues began to share details of their approach to evaluating impact of access and participation activities. There were group work activities to consider how data and evidence were being used within the case institutions, and the implications for the standards of evidence and the project. The second stage involved a series of in-depth interviews with colleagues in partner institutions. Nineteen interviewees (mainly in-person) were completed in total broken down by role as follows: evaluation leads and evaluators (12); managers/leaders (including service and academic leads) (7). Interviews were designed as ‘key informant interviews’ – i.e. targeting colleagues </w:t>
      </w:r>
      <w:r w:rsidRPr="0051642A">
        <w:t>recogni</w:t>
      </w:r>
      <w:r>
        <w:t>s</w:t>
      </w:r>
      <w:r w:rsidRPr="0051642A">
        <w:t xml:space="preserve">ed for their insider knowledge </w:t>
      </w:r>
      <w:r>
        <w:t>and</w:t>
      </w:r>
      <w:r w:rsidRPr="0051642A">
        <w:t xml:space="preserve"> unique perspectives on </w:t>
      </w:r>
      <w:r>
        <w:t>the</w:t>
      </w:r>
      <w:r w:rsidRPr="0051642A">
        <w:t xml:space="preserve"> topic. This method is distinct in </w:t>
      </w:r>
      <w:r>
        <w:t xml:space="preserve">focusing on information-rich sources and aiming for </w:t>
      </w:r>
      <w:r w:rsidRPr="0051642A">
        <w:t xml:space="preserve">depth </w:t>
      </w:r>
      <w:r>
        <w:t xml:space="preserve">of insight </w:t>
      </w:r>
      <w:r w:rsidRPr="0051642A">
        <w:t>rather than breadth</w:t>
      </w:r>
      <w:r>
        <w:t xml:space="preserve">. A semi-structured interview script was used which included both general questions and provider specific questions. The interviews were supported by desk research to draw further insights into the evaluation approaches within the institutions including scrutiny of the latest APP documents. </w:t>
      </w:r>
    </w:p>
    <w:p w14:paraId="201EC274" w14:textId="77777777" w:rsidR="00A75974" w:rsidRDefault="00A75974" w:rsidP="00A75974">
      <w:r>
        <w:t xml:space="preserve">The fieldwork topics were wide-ranging but included a concern to ascertain: </w:t>
      </w:r>
    </w:p>
    <w:p w14:paraId="571690F7" w14:textId="77777777" w:rsidR="00A75974" w:rsidRDefault="00A75974" w:rsidP="005F3744">
      <w:pPr>
        <w:pStyle w:val="ListParagraph"/>
        <w:numPr>
          <w:ilvl w:val="0"/>
          <w:numId w:val="4"/>
        </w:numPr>
      </w:pPr>
      <w:r>
        <w:t>What effects are the standards of evidence having on current approaches to evaluation?</w:t>
      </w:r>
    </w:p>
    <w:p w14:paraId="17C42FBF" w14:textId="77777777" w:rsidR="00A75974" w:rsidRDefault="00A75974" w:rsidP="005F3744">
      <w:pPr>
        <w:pStyle w:val="ListParagraph"/>
        <w:numPr>
          <w:ilvl w:val="0"/>
          <w:numId w:val="4"/>
        </w:numPr>
      </w:pPr>
      <w:r>
        <w:t>How do decision-makers in universities obtain knowledge about effective practices, what information do they need, and what role does impact evaluation play in this?</w:t>
      </w:r>
    </w:p>
    <w:p w14:paraId="5C6867F6" w14:textId="77777777" w:rsidR="00A75974" w:rsidRDefault="00A75974" w:rsidP="005F3744">
      <w:pPr>
        <w:pStyle w:val="ListParagraph"/>
        <w:numPr>
          <w:ilvl w:val="0"/>
          <w:numId w:val="4"/>
        </w:numPr>
      </w:pPr>
      <w:r>
        <w:t xml:space="preserve">How are the standards supporting evidence-based decision making within institutions? </w:t>
      </w:r>
    </w:p>
    <w:p w14:paraId="2C691D56" w14:textId="77777777" w:rsidR="00A75974" w:rsidRDefault="00A75974" w:rsidP="005F3744">
      <w:pPr>
        <w:pStyle w:val="ListParagraph"/>
        <w:numPr>
          <w:ilvl w:val="0"/>
          <w:numId w:val="4"/>
        </w:numPr>
      </w:pPr>
      <w:r w:rsidRPr="00C624EA">
        <w:t xml:space="preserve">How are the standards supporting understanding </w:t>
      </w:r>
      <w:r>
        <w:t xml:space="preserve">of replicability </w:t>
      </w:r>
      <w:r w:rsidRPr="00C624EA">
        <w:t xml:space="preserve">and </w:t>
      </w:r>
      <w:r>
        <w:t xml:space="preserve">transfer of proven and promising practice including knowledge transfer across different institutional contexts? </w:t>
      </w:r>
    </w:p>
    <w:p w14:paraId="57974555" w14:textId="77777777" w:rsidR="00A75974" w:rsidRDefault="00A75974" w:rsidP="00A75974">
      <w:pPr>
        <w:ind w:right="1274"/>
      </w:pPr>
      <w:r>
        <w:t xml:space="preserve">The data from the interviews and desk research was analysed in two ways: </w:t>
      </w:r>
    </w:p>
    <w:p w14:paraId="614BA698" w14:textId="77777777" w:rsidR="00A75974" w:rsidRPr="007B0E89" w:rsidRDefault="00A75974" w:rsidP="005F3744">
      <w:pPr>
        <w:pStyle w:val="ListParagraph"/>
        <w:numPr>
          <w:ilvl w:val="0"/>
          <w:numId w:val="8"/>
        </w:numPr>
      </w:pPr>
      <w:r>
        <w:t>Qualitative analysis working towards e</w:t>
      </w:r>
      <w:r w:rsidRPr="007B0E89">
        <w:t>xploratory findings</w:t>
      </w:r>
      <w:r>
        <w:t xml:space="preserve"> with the aims of e</w:t>
      </w:r>
      <w:r w:rsidRPr="007B0E89">
        <w:t>xtrapolat</w:t>
      </w:r>
      <w:r>
        <w:t>ing</w:t>
      </w:r>
      <w:r w:rsidRPr="007B0E89">
        <w:t xml:space="preserve"> some conclusions (and </w:t>
      </w:r>
      <w:r>
        <w:t xml:space="preserve">making some tentative </w:t>
      </w:r>
      <w:r w:rsidRPr="007B0E89">
        <w:t>generalisations)</w:t>
      </w:r>
      <w:r>
        <w:t>.</w:t>
      </w:r>
    </w:p>
    <w:p w14:paraId="2E42F175" w14:textId="77777777" w:rsidR="00A75974" w:rsidRDefault="00A75974" w:rsidP="005F3744">
      <w:pPr>
        <w:pStyle w:val="ListParagraph"/>
        <w:numPr>
          <w:ilvl w:val="0"/>
          <w:numId w:val="8"/>
        </w:numPr>
      </w:pPr>
      <w:r>
        <w:t>Identification of specific approaches and methods in e</w:t>
      </w:r>
      <w:r w:rsidRPr="007B0E89">
        <w:t>xamples of evaluations</w:t>
      </w:r>
      <w:r>
        <w:t xml:space="preserve"> </w:t>
      </w:r>
      <w:proofErr w:type="gramStart"/>
      <w:r>
        <w:t>in order to</w:t>
      </w:r>
      <w:proofErr w:type="gramEnd"/>
      <w:r>
        <w:t xml:space="preserve"> explore decisions and approaches in different</w:t>
      </w:r>
      <w:r w:rsidRPr="007B0E89">
        <w:t xml:space="preserve"> settings where different issues and solutions are experienced</w:t>
      </w:r>
      <w:r>
        <w:t xml:space="preserve"> (</w:t>
      </w:r>
      <w:proofErr w:type="gramStart"/>
      <w:r>
        <w:t>in order to</w:t>
      </w:r>
      <w:proofErr w:type="gramEnd"/>
      <w:r>
        <w:t xml:space="preserve"> describe and explain approaches to undertaking impact evaluations and the use of evidence in decision making). </w:t>
      </w:r>
    </w:p>
    <w:p w14:paraId="61B14A25" w14:textId="5236F534" w:rsidR="007C1D35" w:rsidRDefault="00A75974" w:rsidP="00A75974">
      <w:pPr>
        <w:spacing w:after="0"/>
        <w:sectPr w:rsidR="007C1D35" w:rsidSect="00AB4665">
          <w:headerReference w:type="even" r:id="rId21"/>
          <w:headerReference w:type="default" r:id="rId22"/>
          <w:footerReference w:type="default" r:id="rId23"/>
          <w:headerReference w:type="first" r:id="rId24"/>
          <w:pgSz w:w="11906" w:h="16838"/>
          <w:pgMar w:top="1440" w:right="1080" w:bottom="1440" w:left="1080" w:header="708" w:footer="708" w:gutter="0"/>
          <w:pgNumType w:start="1"/>
          <w:cols w:space="708"/>
          <w:docGrid w:linePitch="360"/>
        </w:sectPr>
      </w:pPr>
      <w:r>
        <w:t xml:space="preserve">The research partners were invited to comment on draft materials and the group met twice to discuss and agree the findings and recommendations. The research reporting and development of conclusions and recommendations was supported </w:t>
      </w:r>
      <w:r w:rsidR="0027021F">
        <w:t>b</w:t>
      </w:r>
      <w:r>
        <w:t xml:space="preserve">y a reference group of evaluation experts, senior institutional leaders and representatives of sector networks (HEAT). </w:t>
      </w:r>
      <w:r w:rsidRPr="009605C7">
        <w:t>This involved a series of three meetings and exchange of materials for comments and agreement.</w:t>
      </w:r>
    </w:p>
    <w:p w14:paraId="697668D9" w14:textId="2BAA00F7" w:rsidR="00627031" w:rsidRPr="00C60F1C" w:rsidRDefault="00627031" w:rsidP="006F2A57">
      <w:pPr>
        <w:pStyle w:val="Heading3"/>
      </w:pPr>
      <w:bookmarkStart w:id="92" w:name="_Toc205504286"/>
      <w:r>
        <w:lastRenderedPageBreak/>
        <w:t>ANNEX 2: SUGGESTED ENHANCEMENTS TO THE STANDARDS FRAMEWORK</w:t>
      </w:r>
      <w:bookmarkEnd w:id="92"/>
    </w:p>
    <w:tbl>
      <w:tblPr>
        <w:tblW w:w="14047" w:type="dxa"/>
        <w:tblCellMar>
          <w:left w:w="0" w:type="dxa"/>
          <w:right w:w="0" w:type="dxa"/>
        </w:tblCellMar>
        <w:tblLook w:val="0600" w:firstRow="0" w:lastRow="0" w:firstColumn="0" w:lastColumn="0" w:noHBand="1" w:noVBand="1"/>
      </w:tblPr>
      <w:tblGrid>
        <w:gridCol w:w="958"/>
        <w:gridCol w:w="2298"/>
        <w:gridCol w:w="2551"/>
        <w:gridCol w:w="7654"/>
        <w:gridCol w:w="586"/>
      </w:tblGrid>
      <w:tr w:rsidR="001804BB" w:rsidRPr="00553989" w14:paraId="26493D8E" w14:textId="77777777" w:rsidTr="005301B7">
        <w:trPr>
          <w:trHeight w:val="397"/>
        </w:trPr>
        <w:tc>
          <w:tcPr>
            <w:tcW w:w="958" w:type="dxa"/>
            <w:tcBorders>
              <w:top w:val="single" w:sz="4" w:space="0" w:color="A5A5A5"/>
              <w:left w:val="single" w:sz="4" w:space="0" w:color="A5A5A5"/>
              <w:bottom w:val="single" w:sz="4" w:space="0" w:color="A5A5A5"/>
              <w:right w:val="single" w:sz="4" w:space="0" w:color="A5A5A5"/>
            </w:tcBorders>
            <w:shd w:val="clear" w:color="auto" w:fill="F2F2F2"/>
            <w:tcMar>
              <w:top w:w="59" w:type="dxa"/>
              <w:left w:w="89" w:type="dxa"/>
              <w:bottom w:w="59" w:type="dxa"/>
              <w:right w:w="89" w:type="dxa"/>
            </w:tcMar>
            <w:hideMark/>
          </w:tcPr>
          <w:p w14:paraId="60953B3A" w14:textId="77777777" w:rsidR="001804BB" w:rsidRPr="00553989" w:rsidRDefault="001804BB" w:rsidP="0013569B">
            <w:pPr>
              <w:spacing w:afterLines="80" w:after="192" w:line="240" w:lineRule="auto"/>
              <w:rPr>
                <w:sz w:val="18"/>
                <w:szCs w:val="18"/>
              </w:rPr>
            </w:pPr>
          </w:p>
        </w:tc>
        <w:tc>
          <w:tcPr>
            <w:tcW w:w="2298" w:type="dxa"/>
            <w:tcBorders>
              <w:top w:val="single" w:sz="4" w:space="0" w:color="A5A5A5"/>
              <w:left w:val="single" w:sz="4" w:space="0" w:color="A5A5A5"/>
              <w:bottom w:val="single" w:sz="4" w:space="0" w:color="A5A5A5"/>
              <w:right w:val="single" w:sz="4" w:space="0" w:color="A5A5A5"/>
            </w:tcBorders>
            <w:shd w:val="clear" w:color="auto" w:fill="F2F2F2"/>
            <w:tcMar>
              <w:top w:w="59" w:type="dxa"/>
              <w:left w:w="89" w:type="dxa"/>
              <w:bottom w:w="59" w:type="dxa"/>
              <w:right w:w="89" w:type="dxa"/>
            </w:tcMar>
            <w:hideMark/>
          </w:tcPr>
          <w:p w14:paraId="580DF9D5" w14:textId="77777777" w:rsidR="001804BB" w:rsidRPr="00553989" w:rsidRDefault="001846C7" w:rsidP="0013569B">
            <w:pPr>
              <w:spacing w:afterLines="80" w:after="192" w:line="240" w:lineRule="auto"/>
              <w:rPr>
                <w:sz w:val="18"/>
                <w:szCs w:val="18"/>
              </w:rPr>
            </w:pPr>
            <w:r>
              <w:rPr>
                <w:b/>
                <w:bCs/>
                <w:sz w:val="18"/>
                <w:szCs w:val="18"/>
              </w:rPr>
              <w:t>Criteria to meet this Type</w:t>
            </w:r>
          </w:p>
        </w:tc>
        <w:tc>
          <w:tcPr>
            <w:tcW w:w="2551" w:type="dxa"/>
            <w:tcBorders>
              <w:top w:val="single" w:sz="4" w:space="0" w:color="A5A5A5"/>
              <w:left w:val="single" w:sz="4" w:space="0" w:color="A5A5A5"/>
              <w:bottom w:val="single" w:sz="4" w:space="0" w:color="A5A5A5"/>
              <w:right w:val="single" w:sz="4" w:space="0" w:color="A5A5A5"/>
            </w:tcBorders>
            <w:shd w:val="clear" w:color="auto" w:fill="F2F2F2"/>
            <w:tcMar>
              <w:top w:w="43" w:type="dxa"/>
              <w:left w:w="85" w:type="dxa"/>
              <w:bottom w:w="43" w:type="dxa"/>
              <w:right w:w="85" w:type="dxa"/>
            </w:tcMar>
            <w:hideMark/>
          </w:tcPr>
          <w:p w14:paraId="2B365173" w14:textId="77777777" w:rsidR="001804BB" w:rsidRPr="00553989" w:rsidRDefault="001804BB" w:rsidP="0013569B">
            <w:pPr>
              <w:spacing w:afterLines="80" w:after="192" w:line="240" w:lineRule="auto"/>
              <w:rPr>
                <w:sz w:val="18"/>
                <w:szCs w:val="18"/>
              </w:rPr>
            </w:pPr>
            <w:r w:rsidRPr="00553989">
              <w:rPr>
                <w:b/>
                <w:bCs/>
                <w:sz w:val="18"/>
                <w:szCs w:val="18"/>
              </w:rPr>
              <w:t xml:space="preserve">Claims </w:t>
            </w:r>
            <w:r w:rsidR="001846C7">
              <w:rPr>
                <w:b/>
                <w:bCs/>
                <w:sz w:val="18"/>
                <w:szCs w:val="18"/>
              </w:rPr>
              <w:t>that can be made</w:t>
            </w:r>
            <w:r w:rsidR="0054682D">
              <w:rPr>
                <w:rStyle w:val="FootnoteReference"/>
                <w:b/>
                <w:bCs/>
                <w:sz w:val="18"/>
                <w:szCs w:val="18"/>
              </w:rPr>
              <w:footnoteReference w:id="16"/>
            </w:r>
          </w:p>
        </w:tc>
        <w:tc>
          <w:tcPr>
            <w:tcW w:w="7654" w:type="dxa"/>
            <w:tcBorders>
              <w:top w:val="single" w:sz="4" w:space="0" w:color="A5A5A5"/>
              <w:left w:val="single" w:sz="4" w:space="0" w:color="A5A5A5"/>
              <w:bottom w:val="single" w:sz="4" w:space="0" w:color="A5A5A5"/>
              <w:right w:val="single" w:sz="4" w:space="0" w:color="A5A5A5"/>
            </w:tcBorders>
            <w:shd w:val="clear" w:color="auto" w:fill="F2F2F2"/>
          </w:tcPr>
          <w:p w14:paraId="5DDF5FEC" w14:textId="77777777" w:rsidR="001804BB" w:rsidRPr="00553989" w:rsidRDefault="001804BB" w:rsidP="00C766AB">
            <w:pPr>
              <w:spacing w:after="80" w:line="240" w:lineRule="auto"/>
              <w:rPr>
                <w:b/>
                <w:bCs/>
                <w:sz w:val="18"/>
                <w:szCs w:val="18"/>
              </w:rPr>
            </w:pPr>
            <w:r w:rsidRPr="00553989">
              <w:rPr>
                <w:b/>
                <w:bCs/>
                <w:sz w:val="18"/>
                <w:szCs w:val="18"/>
              </w:rPr>
              <w:t>Evidence</w:t>
            </w:r>
            <w:r w:rsidR="00346EEF">
              <w:rPr>
                <w:b/>
                <w:bCs/>
                <w:sz w:val="18"/>
                <w:szCs w:val="18"/>
              </w:rPr>
              <w:t xml:space="preserve"> required</w:t>
            </w:r>
          </w:p>
        </w:tc>
        <w:tc>
          <w:tcPr>
            <w:tcW w:w="586" w:type="dxa"/>
            <w:tcBorders>
              <w:top w:val="single" w:sz="4" w:space="0" w:color="A5A5A5"/>
              <w:left w:val="single" w:sz="4" w:space="0" w:color="A5A5A5"/>
              <w:bottom w:val="single" w:sz="4" w:space="0" w:color="A5A5A5"/>
              <w:right w:val="single" w:sz="4" w:space="0" w:color="A5A5A5"/>
            </w:tcBorders>
            <w:shd w:val="clear" w:color="auto" w:fill="F2F2F2"/>
          </w:tcPr>
          <w:p w14:paraId="5D6FD4F2" w14:textId="77777777" w:rsidR="001804BB" w:rsidRPr="00553989" w:rsidRDefault="001804BB" w:rsidP="0013569B">
            <w:pPr>
              <w:spacing w:afterLines="80" w:after="192" w:line="240" w:lineRule="auto"/>
              <w:rPr>
                <w:b/>
                <w:bCs/>
                <w:sz w:val="18"/>
                <w:szCs w:val="18"/>
              </w:rPr>
            </w:pPr>
          </w:p>
        </w:tc>
      </w:tr>
      <w:tr w:rsidR="00627031" w:rsidRPr="00553989" w14:paraId="41485BAE" w14:textId="77777777" w:rsidTr="005A339C">
        <w:trPr>
          <w:cantSplit/>
          <w:trHeight w:val="1417"/>
        </w:trPr>
        <w:tc>
          <w:tcPr>
            <w:tcW w:w="958" w:type="dxa"/>
            <w:tcBorders>
              <w:top w:val="single" w:sz="4" w:space="0" w:color="A5A5A5"/>
              <w:left w:val="single" w:sz="4" w:space="0" w:color="A5A5A5"/>
              <w:bottom w:val="single" w:sz="4" w:space="0" w:color="A5A5A5"/>
              <w:right w:val="single" w:sz="4" w:space="0" w:color="A5A5A5"/>
            </w:tcBorders>
            <w:shd w:val="clear" w:color="auto" w:fill="F2F2F2"/>
            <w:tcMar>
              <w:top w:w="59" w:type="dxa"/>
              <w:left w:w="89" w:type="dxa"/>
              <w:bottom w:w="59" w:type="dxa"/>
              <w:right w:w="89" w:type="dxa"/>
            </w:tcMar>
            <w:hideMark/>
          </w:tcPr>
          <w:p w14:paraId="2735FFD9" w14:textId="77777777" w:rsidR="00627031" w:rsidRPr="00553989" w:rsidRDefault="00627031" w:rsidP="005A339C">
            <w:pPr>
              <w:spacing w:afterLines="80" w:after="192" w:line="240" w:lineRule="auto"/>
              <w:rPr>
                <w:sz w:val="18"/>
                <w:szCs w:val="18"/>
              </w:rPr>
            </w:pPr>
            <w:r w:rsidRPr="00553989">
              <w:rPr>
                <w:sz w:val="18"/>
                <w:szCs w:val="18"/>
              </w:rPr>
              <w:t xml:space="preserve">Type 1: </w:t>
            </w:r>
          </w:p>
          <w:p w14:paraId="5DA4E798" w14:textId="77777777" w:rsidR="00627031" w:rsidRPr="00553989" w:rsidRDefault="00627031" w:rsidP="005A339C">
            <w:pPr>
              <w:spacing w:afterLines="80" w:after="192" w:line="240" w:lineRule="auto"/>
              <w:rPr>
                <w:sz w:val="18"/>
                <w:szCs w:val="18"/>
              </w:rPr>
            </w:pPr>
            <w:r w:rsidRPr="00553989">
              <w:rPr>
                <w:sz w:val="18"/>
                <w:szCs w:val="18"/>
              </w:rPr>
              <w:t> </w:t>
            </w:r>
          </w:p>
        </w:tc>
        <w:tc>
          <w:tcPr>
            <w:tcW w:w="2298" w:type="dxa"/>
            <w:tcBorders>
              <w:top w:val="single" w:sz="4" w:space="0" w:color="A5A5A5"/>
              <w:left w:val="single" w:sz="4" w:space="0" w:color="A5A5A5"/>
              <w:bottom w:val="single" w:sz="4" w:space="0" w:color="A5A5A5"/>
              <w:right w:val="single" w:sz="4" w:space="0" w:color="A5A5A5"/>
            </w:tcBorders>
            <w:shd w:val="clear" w:color="auto" w:fill="F2F2F2"/>
            <w:tcMar>
              <w:top w:w="59" w:type="dxa"/>
              <w:left w:w="89" w:type="dxa"/>
              <w:bottom w:w="59" w:type="dxa"/>
              <w:right w:w="89" w:type="dxa"/>
            </w:tcMar>
            <w:hideMark/>
          </w:tcPr>
          <w:p w14:paraId="1A55A22A" w14:textId="77777777" w:rsidR="00627031" w:rsidRPr="00553989" w:rsidRDefault="00627031" w:rsidP="005A339C">
            <w:pPr>
              <w:spacing w:afterLines="80" w:after="192" w:line="240" w:lineRule="auto"/>
              <w:rPr>
                <w:sz w:val="18"/>
                <w:szCs w:val="18"/>
              </w:rPr>
            </w:pPr>
            <w:r w:rsidRPr="00F75C78">
              <w:rPr>
                <w:b/>
                <w:bCs/>
                <w:sz w:val="18"/>
                <w:szCs w:val="20"/>
              </w:rPr>
              <w:t>Explains what is being done and why</w:t>
            </w:r>
            <w:r w:rsidRPr="00762F39">
              <w:rPr>
                <w:b/>
                <w:bCs/>
                <w:sz w:val="18"/>
                <w:szCs w:val="18"/>
              </w:rPr>
              <w:t xml:space="preserve"> </w:t>
            </w:r>
            <w:r w:rsidRPr="00762F39">
              <w:rPr>
                <w:b/>
                <w:bCs/>
                <w:sz w:val="18"/>
                <w:szCs w:val="18"/>
              </w:rPr>
              <w:br/>
            </w:r>
            <w:r w:rsidRPr="00553989">
              <w:rPr>
                <w:sz w:val="18"/>
                <w:szCs w:val="18"/>
              </w:rPr>
              <w:t>The impact evaluation provides a narrative or a coherent theory of change to motivate the selection of activities in the context of a coherent strategy</w:t>
            </w:r>
          </w:p>
        </w:tc>
        <w:tc>
          <w:tcPr>
            <w:tcW w:w="2551" w:type="dxa"/>
            <w:tcBorders>
              <w:top w:val="single" w:sz="4" w:space="0" w:color="A5A5A5"/>
              <w:left w:val="single" w:sz="4" w:space="0" w:color="A5A5A5"/>
              <w:bottom w:val="single" w:sz="4" w:space="0" w:color="A5A5A5"/>
              <w:right w:val="single" w:sz="4" w:space="0" w:color="A5A5A5"/>
            </w:tcBorders>
            <w:shd w:val="clear" w:color="auto" w:fill="F2F2F2"/>
            <w:tcMar>
              <w:top w:w="59" w:type="dxa"/>
              <w:left w:w="89" w:type="dxa"/>
              <w:bottom w:w="59" w:type="dxa"/>
              <w:right w:w="89" w:type="dxa"/>
            </w:tcMar>
            <w:hideMark/>
          </w:tcPr>
          <w:p w14:paraId="623AE6F8" w14:textId="77777777" w:rsidR="00627031" w:rsidRPr="00553989" w:rsidRDefault="00627031" w:rsidP="005A339C">
            <w:pPr>
              <w:spacing w:afterLines="80" w:after="192" w:line="240" w:lineRule="auto"/>
              <w:rPr>
                <w:sz w:val="18"/>
                <w:szCs w:val="18"/>
              </w:rPr>
            </w:pPr>
            <w:r w:rsidRPr="00553989">
              <w:rPr>
                <w:b/>
                <w:bCs/>
                <w:sz w:val="18"/>
                <w:szCs w:val="18"/>
              </w:rPr>
              <w:t xml:space="preserve">Claims of policy </w:t>
            </w:r>
            <w:r w:rsidRPr="00553989">
              <w:rPr>
                <w:b/>
                <w:bCs/>
                <w:sz w:val="18"/>
                <w:szCs w:val="18"/>
              </w:rPr>
              <w:br/>
            </w:r>
            <w:r w:rsidRPr="00553989">
              <w:rPr>
                <w:sz w:val="18"/>
                <w:szCs w:val="18"/>
              </w:rPr>
              <w:t>There is a coherent explanation of what we do and why</w:t>
            </w:r>
            <w:r>
              <w:rPr>
                <w:sz w:val="18"/>
                <w:szCs w:val="18"/>
              </w:rPr>
              <w:t xml:space="preserve"> </w:t>
            </w:r>
            <w:r w:rsidRPr="00553989">
              <w:rPr>
                <w:sz w:val="18"/>
                <w:szCs w:val="18"/>
              </w:rPr>
              <w:t>based on research and reasoning</w:t>
            </w:r>
          </w:p>
          <w:p w14:paraId="08BB9D67" w14:textId="77777777" w:rsidR="00627031" w:rsidRPr="00553989" w:rsidRDefault="00627031" w:rsidP="005A339C">
            <w:pPr>
              <w:spacing w:afterLines="80" w:after="192" w:line="240" w:lineRule="auto"/>
              <w:rPr>
                <w:sz w:val="18"/>
                <w:szCs w:val="18"/>
              </w:rPr>
            </w:pPr>
          </w:p>
        </w:tc>
        <w:tc>
          <w:tcPr>
            <w:tcW w:w="7654" w:type="dxa"/>
            <w:tcBorders>
              <w:top w:val="single" w:sz="4" w:space="0" w:color="A5A5A5"/>
              <w:left w:val="single" w:sz="4" w:space="0" w:color="A5A5A5"/>
              <w:bottom w:val="single" w:sz="4" w:space="0" w:color="A5A5A5"/>
              <w:right w:val="single" w:sz="4" w:space="0" w:color="A5A5A5"/>
            </w:tcBorders>
            <w:shd w:val="clear" w:color="auto" w:fill="F2F2F2"/>
          </w:tcPr>
          <w:p w14:paraId="20921BB6" w14:textId="77777777" w:rsidR="00627031" w:rsidRPr="00C60F1C" w:rsidRDefault="00627031" w:rsidP="005A339C">
            <w:pPr>
              <w:ind w:left="2"/>
              <w:rPr>
                <w:sz w:val="18"/>
                <w:szCs w:val="18"/>
              </w:rPr>
            </w:pPr>
            <w:r w:rsidRPr="00C60F1C">
              <w:rPr>
                <w:b/>
                <w:bCs/>
                <w:sz w:val="18"/>
                <w:szCs w:val="18"/>
              </w:rPr>
              <w:t xml:space="preserve">1a) Evidence of Impact Elsewhere or in Research Literature </w:t>
            </w:r>
            <w:r w:rsidRPr="00C60F1C">
              <w:rPr>
                <w:b/>
                <w:bCs/>
                <w:sz w:val="18"/>
                <w:szCs w:val="18"/>
              </w:rPr>
              <w:br/>
            </w:r>
            <w:r w:rsidRPr="00C60F1C">
              <w:rPr>
                <w:sz w:val="18"/>
                <w:szCs w:val="18"/>
              </w:rPr>
              <w:t xml:space="preserve">You have evidence of impact elsewhere and/or in the research literature on access and participation activity effectiveness </w:t>
            </w:r>
          </w:p>
          <w:p w14:paraId="203DDDCD" w14:textId="77777777" w:rsidR="00627031" w:rsidRPr="00C60F1C" w:rsidRDefault="00627031" w:rsidP="005A339C">
            <w:pPr>
              <w:ind w:left="2"/>
              <w:rPr>
                <w:sz w:val="18"/>
                <w:szCs w:val="18"/>
              </w:rPr>
            </w:pPr>
            <w:r w:rsidRPr="00C60F1C">
              <w:rPr>
                <w:b/>
                <w:bCs/>
                <w:sz w:val="18"/>
                <w:szCs w:val="18"/>
              </w:rPr>
              <w:t>1b) Proven or Promising Practice from Existing Evaluation Results</w:t>
            </w:r>
            <w:r w:rsidRPr="00C60F1C">
              <w:rPr>
                <w:b/>
                <w:bCs/>
                <w:sz w:val="18"/>
                <w:szCs w:val="18"/>
              </w:rPr>
              <w:br/>
            </w:r>
            <w:r w:rsidRPr="00C60F1C">
              <w:rPr>
                <w:sz w:val="18"/>
                <w:szCs w:val="18"/>
              </w:rPr>
              <w:t>You’ve run the intervention before and have internal evaluation data showing it worked—or at least showed promise.</w:t>
            </w:r>
          </w:p>
          <w:p w14:paraId="0072BC4C" w14:textId="77777777" w:rsidR="00627031" w:rsidRPr="00C60F1C" w:rsidRDefault="00627031" w:rsidP="005A339C">
            <w:pPr>
              <w:ind w:left="2"/>
              <w:rPr>
                <w:sz w:val="18"/>
                <w:szCs w:val="18"/>
              </w:rPr>
            </w:pPr>
            <w:r w:rsidRPr="00C60F1C">
              <w:rPr>
                <w:b/>
                <w:bCs/>
                <w:sz w:val="18"/>
                <w:szCs w:val="18"/>
              </w:rPr>
              <w:t>1c) Logical Causal Chain with Corroborating Evidence</w:t>
            </w:r>
            <w:r w:rsidRPr="00C60F1C">
              <w:rPr>
                <w:sz w:val="18"/>
                <w:szCs w:val="18"/>
              </w:rPr>
              <w:br/>
              <w:t>You have defined a logical causal chain for outcome/impact and have evidence to corroborate that the intervention could be expected to bring about a positive change.</w:t>
            </w:r>
          </w:p>
          <w:p w14:paraId="4CAE5346" w14:textId="77777777" w:rsidR="00627031" w:rsidRPr="008705F7" w:rsidRDefault="00627031" w:rsidP="005A339C">
            <w:pPr>
              <w:ind w:left="2"/>
            </w:pPr>
            <w:r w:rsidRPr="00C60F1C">
              <w:rPr>
                <w:b/>
                <w:bCs/>
                <w:sz w:val="18"/>
                <w:szCs w:val="18"/>
              </w:rPr>
              <w:t>1d</w:t>
            </w:r>
            <w:r>
              <w:rPr>
                <w:b/>
                <w:bCs/>
                <w:sz w:val="18"/>
                <w:szCs w:val="18"/>
              </w:rPr>
              <w:t>)</w:t>
            </w:r>
            <w:r w:rsidRPr="00C60F1C">
              <w:rPr>
                <w:b/>
                <w:bCs/>
                <w:sz w:val="18"/>
                <w:szCs w:val="18"/>
              </w:rPr>
              <w:t xml:space="preserve"> Emerging Evidence of Beneficial Results</w:t>
            </w:r>
            <w:r w:rsidRPr="00C60F1C">
              <w:rPr>
                <w:sz w:val="18"/>
                <w:szCs w:val="18"/>
              </w:rPr>
              <w:t xml:space="preserve"> </w:t>
            </w:r>
            <w:r w:rsidRPr="00C60F1C">
              <w:rPr>
                <w:sz w:val="18"/>
                <w:szCs w:val="18"/>
              </w:rPr>
              <w:br/>
              <w:t xml:space="preserve">You have initial evaluation results showing that the activities are related to beneficial results in line with the objectives. </w:t>
            </w:r>
          </w:p>
        </w:tc>
        <w:tc>
          <w:tcPr>
            <w:tcW w:w="586" w:type="dxa"/>
            <w:tcBorders>
              <w:top w:val="single" w:sz="4" w:space="0" w:color="A5A5A5"/>
              <w:left w:val="single" w:sz="4" w:space="0" w:color="A5A5A5"/>
              <w:bottom w:val="single" w:sz="4" w:space="0" w:color="A5A5A5"/>
              <w:right w:val="single" w:sz="4" w:space="0" w:color="A5A5A5"/>
            </w:tcBorders>
            <w:shd w:val="clear" w:color="auto" w:fill="F2F2F2"/>
            <w:textDirection w:val="btLr"/>
            <w:vAlign w:val="center"/>
          </w:tcPr>
          <w:p w14:paraId="56BD8FF4" w14:textId="77777777" w:rsidR="00627031" w:rsidRPr="00553989" w:rsidRDefault="00627031" w:rsidP="005A339C">
            <w:pPr>
              <w:spacing w:afterLines="80" w:after="192" w:line="240" w:lineRule="auto"/>
              <w:ind w:left="113" w:right="113"/>
              <w:jc w:val="center"/>
              <w:rPr>
                <w:sz w:val="18"/>
                <w:szCs w:val="18"/>
              </w:rPr>
            </w:pPr>
            <w:r w:rsidRPr="00553989">
              <w:rPr>
                <w:sz w:val="18"/>
                <w:szCs w:val="18"/>
              </w:rPr>
              <w:t>Reasoned Practice</w:t>
            </w:r>
          </w:p>
        </w:tc>
      </w:tr>
      <w:tr w:rsidR="00627031" w:rsidRPr="00553989" w14:paraId="1B294038" w14:textId="77777777" w:rsidTr="005A339C">
        <w:trPr>
          <w:cantSplit/>
          <w:trHeight w:val="1247"/>
        </w:trPr>
        <w:tc>
          <w:tcPr>
            <w:tcW w:w="958" w:type="dxa"/>
            <w:tcBorders>
              <w:top w:val="single" w:sz="4" w:space="0" w:color="A5A5A5"/>
              <w:left w:val="single" w:sz="4" w:space="0" w:color="A5A5A5"/>
              <w:right w:val="single" w:sz="4" w:space="0" w:color="A5A5A5"/>
            </w:tcBorders>
            <w:shd w:val="clear" w:color="auto" w:fill="F2F2F2"/>
            <w:tcMar>
              <w:top w:w="59" w:type="dxa"/>
              <w:left w:w="89" w:type="dxa"/>
              <w:bottom w:w="59" w:type="dxa"/>
              <w:right w:w="89" w:type="dxa"/>
            </w:tcMar>
            <w:hideMark/>
          </w:tcPr>
          <w:p w14:paraId="0FF20C76" w14:textId="77777777" w:rsidR="00627031" w:rsidRPr="00553989" w:rsidRDefault="00627031" w:rsidP="005A339C">
            <w:pPr>
              <w:spacing w:afterLines="80" w:after="192" w:line="240" w:lineRule="auto"/>
              <w:rPr>
                <w:sz w:val="18"/>
                <w:szCs w:val="18"/>
              </w:rPr>
            </w:pPr>
            <w:r w:rsidRPr="00553989">
              <w:rPr>
                <w:sz w:val="18"/>
                <w:szCs w:val="18"/>
              </w:rPr>
              <w:t>Type 2: </w:t>
            </w:r>
            <w:r>
              <w:rPr>
                <w:sz w:val="18"/>
                <w:szCs w:val="18"/>
              </w:rPr>
              <w:br/>
            </w:r>
          </w:p>
        </w:tc>
        <w:tc>
          <w:tcPr>
            <w:tcW w:w="2298" w:type="dxa"/>
            <w:tcBorders>
              <w:top w:val="single" w:sz="4" w:space="0" w:color="A5A5A5"/>
              <w:left w:val="single" w:sz="4" w:space="0" w:color="A5A5A5"/>
              <w:right w:val="single" w:sz="4" w:space="0" w:color="A5A5A5"/>
            </w:tcBorders>
            <w:shd w:val="clear" w:color="auto" w:fill="F2F2F2"/>
            <w:tcMar>
              <w:top w:w="59" w:type="dxa"/>
              <w:left w:w="89" w:type="dxa"/>
              <w:bottom w:w="59" w:type="dxa"/>
              <w:right w:w="89" w:type="dxa"/>
            </w:tcMar>
            <w:hideMark/>
          </w:tcPr>
          <w:p w14:paraId="53D4D412" w14:textId="77777777" w:rsidR="00627031" w:rsidRPr="00553989" w:rsidRDefault="00627031" w:rsidP="005A339C">
            <w:pPr>
              <w:spacing w:afterLines="80" w:after="192" w:line="240" w:lineRule="auto"/>
              <w:rPr>
                <w:sz w:val="18"/>
                <w:szCs w:val="18"/>
              </w:rPr>
            </w:pPr>
            <w:r w:rsidRPr="00762F39">
              <w:rPr>
                <w:b/>
                <w:bCs/>
                <w:sz w:val="18"/>
                <w:szCs w:val="20"/>
              </w:rPr>
              <w:t xml:space="preserve">Shows </w:t>
            </w:r>
            <w:r w:rsidRPr="00F75C78">
              <w:rPr>
                <w:b/>
                <w:bCs/>
                <w:sz w:val="18"/>
                <w:szCs w:val="20"/>
              </w:rPr>
              <w:t>positive outcomes without proving causality</w:t>
            </w:r>
            <w:r w:rsidRPr="00762F39">
              <w:rPr>
                <w:b/>
                <w:bCs/>
                <w:sz w:val="18"/>
                <w:szCs w:val="18"/>
              </w:rPr>
              <w:t xml:space="preserve"> </w:t>
            </w:r>
            <w:r>
              <w:rPr>
                <w:sz w:val="18"/>
                <w:szCs w:val="18"/>
              </w:rPr>
              <w:br/>
            </w:r>
            <w:r w:rsidRPr="00553989">
              <w:rPr>
                <w:sz w:val="18"/>
                <w:szCs w:val="18"/>
              </w:rPr>
              <w:t>The impact evaluation collects data on impact and reports evidence that those receiving an intervention have better outcomes than might otherwise be expected</w:t>
            </w:r>
          </w:p>
        </w:tc>
        <w:tc>
          <w:tcPr>
            <w:tcW w:w="2551" w:type="dxa"/>
            <w:tcBorders>
              <w:top w:val="single" w:sz="4" w:space="0" w:color="A5A5A5"/>
              <w:left w:val="single" w:sz="4" w:space="0" w:color="A5A5A5"/>
              <w:bottom w:val="single" w:sz="4" w:space="0" w:color="A5A5A5"/>
              <w:right w:val="single" w:sz="4" w:space="0" w:color="A5A5A5"/>
            </w:tcBorders>
            <w:shd w:val="clear" w:color="auto" w:fill="F2F2F2"/>
            <w:tcMar>
              <w:top w:w="59" w:type="dxa"/>
              <w:left w:w="89" w:type="dxa"/>
              <w:bottom w:w="59" w:type="dxa"/>
              <w:right w:w="89" w:type="dxa"/>
            </w:tcMar>
            <w:hideMark/>
          </w:tcPr>
          <w:p w14:paraId="26D8A223" w14:textId="77777777" w:rsidR="00627031" w:rsidRPr="00553989" w:rsidRDefault="00627031" w:rsidP="005A339C">
            <w:pPr>
              <w:spacing w:afterLines="80" w:after="192" w:line="240" w:lineRule="auto"/>
              <w:rPr>
                <w:sz w:val="18"/>
                <w:szCs w:val="18"/>
              </w:rPr>
            </w:pPr>
            <w:r w:rsidRPr="00553989">
              <w:rPr>
                <w:b/>
                <w:bCs/>
                <w:sz w:val="18"/>
                <w:szCs w:val="18"/>
              </w:rPr>
              <w:t>Claims of worth</w:t>
            </w:r>
            <w:r w:rsidRPr="00553989">
              <w:rPr>
                <w:b/>
                <w:bCs/>
                <w:sz w:val="18"/>
                <w:szCs w:val="18"/>
              </w:rPr>
              <w:br/>
            </w:r>
            <w:r w:rsidRPr="00553989">
              <w:rPr>
                <w:sz w:val="18"/>
                <w:szCs w:val="18"/>
              </w:rPr>
              <w:t>We can demonstrate that our intervention is associated with beneficial results against a counterfactual.</w:t>
            </w:r>
          </w:p>
          <w:p w14:paraId="5FD0EC42" w14:textId="77777777" w:rsidR="00627031" w:rsidRPr="00553989" w:rsidRDefault="00627031" w:rsidP="005A339C">
            <w:pPr>
              <w:spacing w:afterLines="80" w:after="192" w:line="240" w:lineRule="auto"/>
              <w:rPr>
                <w:sz w:val="18"/>
                <w:szCs w:val="18"/>
              </w:rPr>
            </w:pPr>
          </w:p>
          <w:p w14:paraId="6D048E1E" w14:textId="77777777" w:rsidR="00627031" w:rsidRPr="00553989" w:rsidRDefault="00627031" w:rsidP="005A339C">
            <w:pPr>
              <w:spacing w:afterLines="80" w:after="192" w:line="240" w:lineRule="auto"/>
              <w:rPr>
                <w:sz w:val="18"/>
                <w:szCs w:val="18"/>
              </w:rPr>
            </w:pPr>
          </w:p>
        </w:tc>
        <w:tc>
          <w:tcPr>
            <w:tcW w:w="7654" w:type="dxa"/>
            <w:tcBorders>
              <w:top w:val="single" w:sz="4" w:space="0" w:color="A5A5A5"/>
              <w:left w:val="single" w:sz="4" w:space="0" w:color="A5A5A5"/>
              <w:bottom w:val="single" w:sz="4" w:space="0" w:color="A5A5A5"/>
              <w:right w:val="single" w:sz="4" w:space="0" w:color="A5A5A5"/>
            </w:tcBorders>
            <w:shd w:val="clear" w:color="auto" w:fill="F2F2F2"/>
          </w:tcPr>
          <w:p w14:paraId="62CD158C" w14:textId="77777777" w:rsidR="00627031" w:rsidRPr="00C60F1C" w:rsidRDefault="00627031" w:rsidP="005A339C">
            <w:pPr>
              <w:ind w:left="2"/>
              <w:rPr>
                <w:sz w:val="18"/>
                <w:szCs w:val="18"/>
              </w:rPr>
            </w:pPr>
            <w:r w:rsidRPr="00C60F1C">
              <w:rPr>
                <w:b/>
                <w:bCs/>
                <w:sz w:val="18"/>
                <w:szCs w:val="18"/>
              </w:rPr>
              <w:t xml:space="preserve">2a) Pre/Post Change or comparison to </w:t>
            </w:r>
            <w:proofErr w:type="gramStart"/>
            <w:r w:rsidRPr="00C60F1C">
              <w:rPr>
                <w:b/>
                <w:bCs/>
                <w:sz w:val="18"/>
                <w:szCs w:val="18"/>
              </w:rPr>
              <w:t>Non-Participants</w:t>
            </w:r>
            <w:proofErr w:type="gramEnd"/>
            <w:r w:rsidRPr="00C60F1C">
              <w:rPr>
                <w:b/>
                <w:bCs/>
                <w:sz w:val="18"/>
                <w:szCs w:val="18"/>
              </w:rPr>
              <w:br/>
            </w:r>
            <w:r w:rsidRPr="00C60F1C">
              <w:rPr>
                <w:sz w:val="18"/>
                <w:szCs w:val="18"/>
              </w:rPr>
              <w:t xml:space="preserve">You have quantitative and/or qualitative evidence of a pre/post intervention change or a difference compared to what might otherwise have been expected. </w:t>
            </w:r>
          </w:p>
          <w:p w14:paraId="70C0976A" w14:textId="77777777" w:rsidR="00627031" w:rsidRPr="000676EC" w:rsidRDefault="00627031" w:rsidP="005A339C">
            <w:pPr>
              <w:ind w:left="2"/>
            </w:pPr>
            <w:r w:rsidRPr="00C60F1C">
              <w:rPr>
                <w:b/>
                <w:bCs/>
                <w:sz w:val="18"/>
                <w:szCs w:val="18"/>
              </w:rPr>
              <w:t>2b) Causal Reasoning with Programme Theory</w:t>
            </w:r>
            <w:r w:rsidRPr="00C60F1C">
              <w:rPr>
                <w:sz w:val="18"/>
                <w:szCs w:val="18"/>
              </w:rPr>
              <w:t xml:space="preserve"> </w:t>
            </w:r>
            <w:r w:rsidRPr="00C60F1C">
              <w:rPr>
                <w:sz w:val="18"/>
                <w:szCs w:val="18"/>
              </w:rPr>
              <w:br/>
              <w:t xml:space="preserve">You’ve defined a logical causal chain for outcome and impact and systematic quantitative and/or qualitative evidence from causal reasoning which demonstrates that implementation of the programme theory for </w:t>
            </w:r>
            <w:r>
              <w:rPr>
                <w:sz w:val="18"/>
                <w:szCs w:val="18"/>
              </w:rPr>
              <w:t>y</w:t>
            </w:r>
            <w:r w:rsidRPr="00C60F1C">
              <w:rPr>
                <w:sz w:val="18"/>
                <w:szCs w:val="18"/>
              </w:rPr>
              <w:t>our intervention plausibly explains the outcomes in your context*</w:t>
            </w:r>
          </w:p>
        </w:tc>
        <w:tc>
          <w:tcPr>
            <w:tcW w:w="586" w:type="dxa"/>
            <w:tcBorders>
              <w:top w:val="single" w:sz="4" w:space="0" w:color="A5A5A5"/>
              <w:left w:val="single" w:sz="4" w:space="0" w:color="A5A5A5"/>
              <w:right w:val="single" w:sz="4" w:space="0" w:color="A5A5A5"/>
            </w:tcBorders>
            <w:shd w:val="clear" w:color="auto" w:fill="F2F2F2"/>
            <w:textDirection w:val="btLr"/>
            <w:vAlign w:val="center"/>
          </w:tcPr>
          <w:p w14:paraId="277DAB81" w14:textId="77777777" w:rsidR="00627031" w:rsidRPr="00553989" w:rsidRDefault="00627031" w:rsidP="005A339C">
            <w:pPr>
              <w:spacing w:afterLines="80" w:after="192" w:line="240" w:lineRule="auto"/>
              <w:ind w:left="113" w:right="113"/>
              <w:jc w:val="center"/>
              <w:rPr>
                <w:sz w:val="18"/>
                <w:szCs w:val="18"/>
              </w:rPr>
            </w:pPr>
            <w:r w:rsidRPr="00553989">
              <w:rPr>
                <w:sz w:val="18"/>
                <w:szCs w:val="18"/>
              </w:rPr>
              <w:t xml:space="preserve"> Promising Practice</w:t>
            </w:r>
          </w:p>
        </w:tc>
      </w:tr>
      <w:tr w:rsidR="00627031" w:rsidRPr="00553989" w14:paraId="0AD9CEE4" w14:textId="77777777" w:rsidTr="005A339C">
        <w:trPr>
          <w:cantSplit/>
          <w:trHeight w:val="1134"/>
        </w:trPr>
        <w:tc>
          <w:tcPr>
            <w:tcW w:w="958" w:type="dxa"/>
            <w:tcBorders>
              <w:top w:val="single" w:sz="4" w:space="0" w:color="A5A5A5"/>
              <w:left w:val="single" w:sz="4" w:space="0" w:color="A5A5A5"/>
              <w:bottom w:val="single" w:sz="4" w:space="0" w:color="A5A5A5"/>
              <w:right w:val="single" w:sz="4" w:space="0" w:color="A5A5A5"/>
            </w:tcBorders>
            <w:shd w:val="clear" w:color="auto" w:fill="F2F2F2"/>
            <w:tcMar>
              <w:top w:w="59" w:type="dxa"/>
              <w:left w:w="89" w:type="dxa"/>
              <w:bottom w:w="59" w:type="dxa"/>
              <w:right w:w="89" w:type="dxa"/>
            </w:tcMar>
            <w:hideMark/>
          </w:tcPr>
          <w:p w14:paraId="18915B58" w14:textId="77777777" w:rsidR="00627031" w:rsidRPr="00553989" w:rsidRDefault="00627031" w:rsidP="005A339C">
            <w:pPr>
              <w:spacing w:afterLines="80" w:after="192" w:line="240" w:lineRule="auto"/>
              <w:rPr>
                <w:sz w:val="18"/>
                <w:szCs w:val="18"/>
              </w:rPr>
            </w:pPr>
            <w:r w:rsidRPr="00553989">
              <w:rPr>
                <w:sz w:val="18"/>
                <w:szCs w:val="18"/>
              </w:rPr>
              <w:lastRenderedPageBreak/>
              <w:t xml:space="preserve">Type 3: </w:t>
            </w:r>
            <w:r>
              <w:rPr>
                <w:sz w:val="18"/>
                <w:szCs w:val="18"/>
              </w:rPr>
              <w:br/>
            </w:r>
          </w:p>
        </w:tc>
        <w:tc>
          <w:tcPr>
            <w:tcW w:w="2298" w:type="dxa"/>
            <w:tcBorders>
              <w:top w:val="single" w:sz="4" w:space="0" w:color="A5A5A5"/>
              <w:left w:val="single" w:sz="4" w:space="0" w:color="A5A5A5"/>
              <w:bottom w:val="single" w:sz="4" w:space="0" w:color="A5A5A5"/>
              <w:right w:val="single" w:sz="4" w:space="0" w:color="A5A5A5"/>
            </w:tcBorders>
            <w:shd w:val="clear" w:color="auto" w:fill="F2F2F2"/>
            <w:tcMar>
              <w:top w:w="59" w:type="dxa"/>
              <w:left w:w="89" w:type="dxa"/>
              <w:bottom w:w="59" w:type="dxa"/>
              <w:right w:w="89" w:type="dxa"/>
            </w:tcMar>
            <w:hideMark/>
          </w:tcPr>
          <w:p w14:paraId="1B69FEE3" w14:textId="77777777" w:rsidR="00627031" w:rsidRPr="00553989" w:rsidRDefault="00627031" w:rsidP="005A339C">
            <w:pPr>
              <w:spacing w:afterLines="80" w:after="192" w:line="240" w:lineRule="auto"/>
              <w:rPr>
                <w:sz w:val="18"/>
                <w:szCs w:val="18"/>
              </w:rPr>
            </w:pPr>
            <w:r w:rsidRPr="00762F39">
              <w:rPr>
                <w:b/>
                <w:bCs/>
                <w:sz w:val="18"/>
                <w:szCs w:val="18"/>
              </w:rPr>
              <w:t xml:space="preserve">Demonstrates that the intervention caused the observed outcomes </w:t>
            </w:r>
            <w:r w:rsidRPr="00762F39">
              <w:rPr>
                <w:b/>
                <w:bCs/>
                <w:sz w:val="18"/>
                <w:szCs w:val="18"/>
              </w:rPr>
              <w:br/>
            </w:r>
            <w:r w:rsidRPr="00553989">
              <w:rPr>
                <w:sz w:val="18"/>
                <w:szCs w:val="18"/>
              </w:rPr>
              <w:t>The impact evaluation methodology provides evidence of a causal effect of an intervention</w:t>
            </w:r>
          </w:p>
        </w:tc>
        <w:tc>
          <w:tcPr>
            <w:tcW w:w="2551" w:type="dxa"/>
            <w:tcBorders>
              <w:top w:val="single" w:sz="4" w:space="0" w:color="A5A5A5"/>
              <w:left w:val="single" w:sz="4" w:space="0" w:color="A5A5A5"/>
              <w:bottom w:val="single" w:sz="4" w:space="0" w:color="A5A5A5"/>
              <w:right w:val="single" w:sz="4" w:space="0" w:color="A5A5A5"/>
            </w:tcBorders>
            <w:shd w:val="clear" w:color="auto" w:fill="F2F2F2"/>
            <w:tcMar>
              <w:top w:w="59" w:type="dxa"/>
              <w:left w:w="89" w:type="dxa"/>
              <w:bottom w:w="59" w:type="dxa"/>
              <w:right w:w="89" w:type="dxa"/>
            </w:tcMar>
            <w:hideMark/>
          </w:tcPr>
          <w:p w14:paraId="4C63FB9E" w14:textId="77777777" w:rsidR="00627031" w:rsidRPr="00553989" w:rsidRDefault="00627031" w:rsidP="005A339C">
            <w:pPr>
              <w:spacing w:afterLines="80" w:after="192" w:line="240" w:lineRule="auto"/>
              <w:rPr>
                <w:sz w:val="18"/>
                <w:szCs w:val="18"/>
              </w:rPr>
            </w:pPr>
            <w:r w:rsidRPr="00553989">
              <w:rPr>
                <w:b/>
                <w:bCs/>
                <w:sz w:val="18"/>
                <w:szCs w:val="18"/>
              </w:rPr>
              <w:t>C</w:t>
            </w:r>
            <w:r>
              <w:rPr>
                <w:b/>
                <w:bCs/>
                <w:sz w:val="18"/>
                <w:szCs w:val="18"/>
              </w:rPr>
              <w:t>ausal c</w:t>
            </w:r>
            <w:r w:rsidRPr="00553989">
              <w:rPr>
                <w:b/>
                <w:bCs/>
                <w:sz w:val="18"/>
                <w:szCs w:val="18"/>
              </w:rPr>
              <w:t xml:space="preserve">laims </w:t>
            </w:r>
            <w:r w:rsidRPr="00553989">
              <w:rPr>
                <w:b/>
                <w:bCs/>
                <w:sz w:val="18"/>
                <w:szCs w:val="18"/>
              </w:rPr>
              <w:br/>
            </w:r>
            <w:r w:rsidRPr="00553989">
              <w:rPr>
                <w:sz w:val="18"/>
                <w:szCs w:val="18"/>
              </w:rPr>
              <w:t xml:space="preserve">We </w:t>
            </w:r>
            <w:r>
              <w:rPr>
                <w:sz w:val="18"/>
                <w:szCs w:val="18"/>
              </w:rPr>
              <w:t xml:space="preserve">can demonstrate </w:t>
            </w:r>
            <w:r w:rsidRPr="00553989">
              <w:rPr>
                <w:sz w:val="18"/>
                <w:szCs w:val="18"/>
              </w:rPr>
              <w:t xml:space="preserve">our intervention causes improvement and the difference it makes </w:t>
            </w:r>
          </w:p>
        </w:tc>
        <w:tc>
          <w:tcPr>
            <w:tcW w:w="7654" w:type="dxa"/>
            <w:tcBorders>
              <w:top w:val="single" w:sz="4" w:space="0" w:color="A5A5A5"/>
              <w:left w:val="single" w:sz="4" w:space="0" w:color="A5A5A5"/>
              <w:bottom w:val="single" w:sz="4" w:space="0" w:color="A5A5A5"/>
              <w:right w:val="single" w:sz="4" w:space="0" w:color="A5A5A5"/>
            </w:tcBorders>
            <w:shd w:val="clear" w:color="auto" w:fill="F2F2F2"/>
          </w:tcPr>
          <w:p w14:paraId="32B8BC3C" w14:textId="77777777" w:rsidR="00627031" w:rsidRPr="00C60F1C" w:rsidRDefault="00627031" w:rsidP="005A339C">
            <w:pPr>
              <w:rPr>
                <w:sz w:val="18"/>
                <w:szCs w:val="18"/>
              </w:rPr>
            </w:pPr>
            <w:r>
              <w:rPr>
                <w:b/>
                <w:bCs/>
                <w:sz w:val="18"/>
                <w:szCs w:val="20"/>
              </w:rPr>
              <w:t xml:space="preserve">3a) </w:t>
            </w:r>
            <w:r w:rsidRPr="00C60F1C">
              <w:rPr>
                <w:b/>
                <w:bCs/>
                <w:sz w:val="18"/>
                <w:szCs w:val="20"/>
              </w:rPr>
              <w:t>Quasi-Experimental Design with an Appropriate Comparison Group</w:t>
            </w:r>
            <w:r w:rsidRPr="00C60F1C">
              <w:rPr>
                <w:szCs w:val="20"/>
              </w:rPr>
              <w:t xml:space="preserve"> </w:t>
            </w:r>
            <w:r>
              <w:rPr>
                <w:szCs w:val="20"/>
              </w:rPr>
              <w:br/>
            </w:r>
            <w:r w:rsidRPr="00C60F1C">
              <w:rPr>
                <w:sz w:val="18"/>
                <w:szCs w:val="18"/>
              </w:rPr>
              <w:t>You have a positive result from of a treatment change on participles relative to an appropriate comparison group who did not take part in the intervention from a quasi-experimental design**</w:t>
            </w:r>
          </w:p>
          <w:p w14:paraId="741A097C" w14:textId="77777777" w:rsidR="00627031" w:rsidRPr="00C60F1C" w:rsidRDefault="00627031" w:rsidP="005A339C">
            <w:pPr>
              <w:ind w:left="2" w:hanging="2"/>
              <w:rPr>
                <w:b/>
                <w:bCs/>
                <w:sz w:val="18"/>
                <w:szCs w:val="18"/>
              </w:rPr>
            </w:pPr>
            <w:r>
              <w:rPr>
                <w:b/>
                <w:bCs/>
                <w:sz w:val="18"/>
                <w:szCs w:val="18"/>
              </w:rPr>
              <w:t xml:space="preserve">3b) </w:t>
            </w:r>
            <w:r w:rsidRPr="00C60F1C">
              <w:rPr>
                <w:b/>
                <w:bCs/>
                <w:sz w:val="18"/>
                <w:szCs w:val="18"/>
              </w:rPr>
              <w:t>Randomised Controlled Trial (RCT)</w:t>
            </w:r>
            <w:r>
              <w:rPr>
                <w:b/>
                <w:bCs/>
                <w:sz w:val="18"/>
                <w:szCs w:val="18"/>
              </w:rPr>
              <w:br/>
            </w:r>
            <w:r w:rsidRPr="00C60F1C">
              <w:rPr>
                <w:sz w:val="18"/>
                <w:szCs w:val="20"/>
              </w:rPr>
              <w:t xml:space="preserve">You have a positive result from of a treatment change on participles relative to a control group who did not take part in the intervention from a randomised experiment. </w:t>
            </w:r>
          </w:p>
          <w:p w14:paraId="25EAC306" w14:textId="77777777" w:rsidR="00627031" w:rsidRPr="006E4AEE" w:rsidRDefault="00627031" w:rsidP="00041A83">
            <w:pPr>
              <w:pStyle w:val="ListParagraph"/>
              <w:numPr>
                <w:ilvl w:val="0"/>
                <w:numId w:val="0"/>
              </w:numPr>
              <w:ind w:left="2"/>
            </w:pPr>
            <w:r w:rsidRPr="00041A83">
              <w:rPr>
                <w:b/>
                <w:bCs/>
              </w:rPr>
              <w:t>3c) Non-experimental Causal Inference Methods</w:t>
            </w:r>
            <w:r w:rsidRPr="006E4AEE">
              <w:t xml:space="preserve"> </w:t>
            </w:r>
            <w:r w:rsidRPr="006E4AEE">
              <w:br/>
            </w:r>
            <w:r w:rsidRPr="000C3653">
              <w:rPr>
                <w:rStyle w:val="BoxsmallChar"/>
                <w:sz w:val="18"/>
              </w:rPr>
              <w:t>You have a defined logical causal chain for outcome/impact and have systematic quantitative and/or qualitative evidence to demonstrate that the intervention is an explanatory variable for the observed outcomes in your context and you have ruled out alternative explanations.</w:t>
            </w:r>
          </w:p>
        </w:tc>
        <w:tc>
          <w:tcPr>
            <w:tcW w:w="586" w:type="dxa"/>
            <w:tcBorders>
              <w:top w:val="single" w:sz="4" w:space="0" w:color="A5A5A5"/>
              <w:left w:val="single" w:sz="4" w:space="0" w:color="A5A5A5"/>
              <w:bottom w:val="single" w:sz="4" w:space="0" w:color="A5A5A5"/>
              <w:right w:val="single" w:sz="4" w:space="0" w:color="A5A5A5"/>
            </w:tcBorders>
            <w:shd w:val="clear" w:color="auto" w:fill="F2F2F2"/>
            <w:textDirection w:val="btLr"/>
            <w:vAlign w:val="center"/>
          </w:tcPr>
          <w:p w14:paraId="3A488317" w14:textId="77777777" w:rsidR="00627031" w:rsidRPr="00553989" w:rsidRDefault="00627031" w:rsidP="005A339C">
            <w:pPr>
              <w:spacing w:afterLines="80" w:after="192" w:line="240" w:lineRule="auto"/>
              <w:ind w:left="113" w:right="113"/>
              <w:jc w:val="center"/>
              <w:rPr>
                <w:sz w:val="18"/>
                <w:szCs w:val="18"/>
              </w:rPr>
            </w:pPr>
            <w:r w:rsidRPr="00553989">
              <w:rPr>
                <w:sz w:val="18"/>
                <w:szCs w:val="18"/>
              </w:rPr>
              <w:t>Validated Practice</w:t>
            </w:r>
          </w:p>
        </w:tc>
      </w:tr>
    </w:tbl>
    <w:p w14:paraId="0E485CB2" w14:textId="77777777" w:rsidR="00041A83" w:rsidRDefault="00041A83" w:rsidP="00626AC9">
      <w:pPr>
        <w:spacing w:after="0"/>
        <w:rPr>
          <w:sz w:val="16"/>
          <w:szCs w:val="18"/>
        </w:rPr>
      </w:pPr>
    </w:p>
    <w:p w14:paraId="70692180" w14:textId="1A629CD0" w:rsidR="00626AC9" w:rsidRDefault="00626AC9" w:rsidP="007F71E9">
      <w:pPr>
        <w:spacing w:after="0"/>
        <w:rPr>
          <w:sz w:val="16"/>
          <w:szCs w:val="18"/>
        </w:rPr>
      </w:pPr>
      <w:r>
        <w:rPr>
          <w:sz w:val="16"/>
          <w:szCs w:val="18"/>
        </w:rPr>
        <w:t xml:space="preserve">* </w:t>
      </w:r>
      <w:r w:rsidR="004145B1">
        <w:rPr>
          <w:sz w:val="16"/>
          <w:szCs w:val="18"/>
        </w:rPr>
        <w:t>T</w:t>
      </w:r>
      <w:r w:rsidR="00B2174B">
        <w:rPr>
          <w:sz w:val="16"/>
          <w:szCs w:val="18"/>
        </w:rPr>
        <w:t>heory</w:t>
      </w:r>
      <w:r w:rsidR="008611F4">
        <w:rPr>
          <w:sz w:val="16"/>
          <w:szCs w:val="18"/>
        </w:rPr>
        <w:t xml:space="preserve">-based evaluation </w:t>
      </w:r>
      <w:r w:rsidR="00B2174B">
        <w:rPr>
          <w:sz w:val="16"/>
          <w:szCs w:val="18"/>
        </w:rPr>
        <w:t>designs included</w:t>
      </w:r>
      <w:r w:rsidR="00822D8A">
        <w:rPr>
          <w:sz w:val="16"/>
          <w:szCs w:val="18"/>
        </w:rPr>
        <w:t xml:space="preserve"> in this type of evidence</w:t>
      </w:r>
      <w:r w:rsidR="0058214F">
        <w:rPr>
          <w:sz w:val="16"/>
          <w:szCs w:val="18"/>
        </w:rPr>
        <w:t xml:space="preserve"> (see discussion in Annex 2). </w:t>
      </w:r>
    </w:p>
    <w:p w14:paraId="3AF9311F" w14:textId="3542CBBE" w:rsidR="00393FC1" w:rsidRDefault="009E6DC7" w:rsidP="00967571">
      <w:pPr>
        <w:spacing w:after="0"/>
        <w:rPr>
          <w:sz w:val="16"/>
          <w:szCs w:val="18"/>
        </w:rPr>
      </w:pPr>
      <w:r w:rsidRPr="00C7515C">
        <w:rPr>
          <w:sz w:val="16"/>
          <w:szCs w:val="18"/>
        </w:rPr>
        <w:t>*</w:t>
      </w:r>
      <w:r w:rsidR="00626AC9">
        <w:rPr>
          <w:sz w:val="16"/>
          <w:szCs w:val="18"/>
        </w:rPr>
        <w:t>*</w:t>
      </w:r>
      <w:r w:rsidR="00E618A7" w:rsidRPr="00C7515C">
        <w:rPr>
          <w:sz w:val="16"/>
          <w:szCs w:val="18"/>
        </w:rPr>
        <w:t xml:space="preserve">Within a quasi-experimental design whilst </w:t>
      </w:r>
      <w:r w:rsidR="00B064FC" w:rsidRPr="00C7515C">
        <w:rPr>
          <w:sz w:val="16"/>
          <w:szCs w:val="18"/>
        </w:rPr>
        <w:t>causation may not be proven (because there may be other differences between the groups that caused the effect)</w:t>
      </w:r>
      <w:r w:rsidR="00A843A1" w:rsidRPr="00C7515C">
        <w:rPr>
          <w:sz w:val="16"/>
          <w:szCs w:val="18"/>
        </w:rPr>
        <w:t xml:space="preserve"> this is still a strong design if an RCT is not appropriate</w:t>
      </w:r>
      <w:r w:rsidR="00F00B9D" w:rsidRPr="00C7515C">
        <w:rPr>
          <w:sz w:val="16"/>
          <w:szCs w:val="18"/>
        </w:rPr>
        <w:t>: QEDs have</w:t>
      </w:r>
      <w:r w:rsidR="00F30EE6" w:rsidRPr="00C7515C">
        <w:rPr>
          <w:sz w:val="16"/>
          <w:szCs w:val="18"/>
        </w:rPr>
        <w:t xml:space="preserve"> the potential to </w:t>
      </w:r>
      <w:r w:rsidR="00614DEE" w:rsidRPr="00C7515C">
        <w:rPr>
          <w:sz w:val="16"/>
          <w:szCs w:val="18"/>
        </w:rPr>
        <w:t xml:space="preserve">point in the direction of more generalisable results so long as the </w:t>
      </w:r>
      <w:r w:rsidR="006F6177" w:rsidRPr="00C7515C">
        <w:rPr>
          <w:sz w:val="16"/>
          <w:szCs w:val="18"/>
        </w:rPr>
        <w:t>contextual factors are understood</w:t>
      </w:r>
      <w:r w:rsidR="00F00B9D" w:rsidRPr="00C7515C">
        <w:rPr>
          <w:sz w:val="16"/>
          <w:szCs w:val="18"/>
        </w:rPr>
        <w:t>,</w:t>
      </w:r>
      <w:r w:rsidR="00E618A7" w:rsidRPr="00C7515C">
        <w:rPr>
          <w:sz w:val="16"/>
          <w:szCs w:val="18"/>
        </w:rPr>
        <w:t xml:space="preserve"> </w:t>
      </w:r>
      <w:r w:rsidR="004161E9" w:rsidRPr="00C7515C">
        <w:rPr>
          <w:sz w:val="16"/>
          <w:szCs w:val="18"/>
        </w:rPr>
        <w:t>and are usually less costly and time-consuming than an RCT</w:t>
      </w:r>
      <w:r w:rsidR="005B674F" w:rsidRPr="00C7515C">
        <w:rPr>
          <w:sz w:val="16"/>
          <w:szCs w:val="18"/>
        </w:rPr>
        <w:t xml:space="preserve">. </w:t>
      </w:r>
    </w:p>
    <w:p w14:paraId="5ECF1FF4" w14:textId="77777777" w:rsidR="007F71E9" w:rsidRPr="00967571" w:rsidRDefault="007F71E9" w:rsidP="00967571">
      <w:pPr>
        <w:spacing w:after="0"/>
        <w:rPr>
          <w:sz w:val="16"/>
          <w:szCs w:val="18"/>
        </w:rPr>
      </w:pPr>
    </w:p>
    <w:p w14:paraId="04DE4AFB" w14:textId="77777777" w:rsidR="00393FC1" w:rsidRPr="004D339E" w:rsidRDefault="004D339E" w:rsidP="0023083C">
      <w:pPr>
        <w:rPr>
          <w:b/>
          <w:bCs/>
        </w:rPr>
      </w:pPr>
      <w:r w:rsidRPr="004D339E">
        <w:rPr>
          <w:b/>
          <w:bCs/>
        </w:rPr>
        <w:t>‘+’ Designation</w:t>
      </w:r>
      <w:r>
        <w:rPr>
          <w:b/>
          <w:bCs/>
        </w:rPr>
        <w:t xml:space="preserve"> to support transferability of </w:t>
      </w:r>
      <w:r w:rsidR="007554D0">
        <w:rPr>
          <w:b/>
          <w:bCs/>
        </w:rPr>
        <w:t>practice where there are proven/promising results</w:t>
      </w:r>
    </w:p>
    <w:p w14:paraId="19D34AEE" w14:textId="2867B27A" w:rsidR="00627031" w:rsidRDefault="00B963C6" w:rsidP="00627031">
      <w:proofErr w:type="gramStart"/>
      <w:r>
        <w:t>In order to</w:t>
      </w:r>
      <w:proofErr w:type="gramEnd"/>
      <w:r>
        <w:t xml:space="preserve"> support the use of evaluation to inform </w:t>
      </w:r>
      <w:r w:rsidR="009234D5">
        <w:t xml:space="preserve">decisions on access and participation activities across the sector, we suggest </w:t>
      </w:r>
      <w:r w:rsidR="00381603">
        <w:t xml:space="preserve">that the evidence base for </w:t>
      </w:r>
      <w:r w:rsidR="00627031">
        <w:t>different types of evaluations can be further enhanced to achieve a ‘+’ designation</w:t>
      </w:r>
      <w:r w:rsidR="008C78AE">
        <w:t xml:space="preserve"> (e.g. Type 3+)</w:t>
      </w:r>
      <w:r w:rsidR="00627031">
        <w:t xml:space="preserve">. </w:t>
      </w:r>
    </w:p>
    <w:tbl>
      <w:tblPr>
        <w:tblW w:w="14047" w:type="dxa"/>
        <w:tblCellMar>
          <w:left w:w="0" w:type="dxa"/>
          <w:right w:w="0" w:type="dxa"/>
        </w:tblCellMar>
        <w:tblLook w:val="0600" w:firstRow="0" w:lastRow="0" w:firstColumn="0" w:lastColumn="0" w:noHBand="1" w:noVBand="1"/>
      </w:tblPr>
      <w:tblGrid>
        <w:gridCol w:w="1099"/>
        <w:gridCol w:w="2283"/>
        <w:gridCol w:w="2532"/>
        <w:gridCol w:w="7550"/>
        <w:gridCol w:w="583"/>
      </w:tblGrid>
      <w:tr w:rsidR="0023083C" w:rsidRPr="0023083C" w14:paraId="1495F23E" w14:textId="77777777" w:rsidTr="007F71E9">
        <w:trPr>
          <w:trHeight w:val="397"/>
        </w:trPr>
        <w:tc>
          <w:tcPr>
            <w:tcW w:w="1099" w:type="dxa"/>
            <w:tcBorders>
              <w:top w:val="single" w:sz="4" w:space="0" w:color="A5A5A5"/>
              <w:left w:val="single" w:sz="4" w:space="0" w:color="A5A5A5"/>
              <w:bottom w:val="single" w:sz="4" w:space="0" w:color="A5A5A5"/>
              <w:right w:val="single" w:sz="4" w:space="0" w:color="A5A5A5"/>
            </w:tcBorders>
            <w:shd w:val="clear" w:color="auto" w:fill="F2F2F2"/>
            <w:tcMar>
              <w:top w:w="59" w:type="dxa"/>
              <w:left w:w="89" w:type="dxa"/>
              <w:bottom w:w="59" w:type="dxa"/>
              <w:right w:w="89" w:type="dxa"/>
            </w:tcMar>
            <w:hideMark/>
          </w:tcPr>
          <w:p w14:paraId="27424764" w14:textId="77777777" w:rsidR="0023083C" w:rsidRPr="0023083C" w:rsidRDefault="0023083C" w:rsidP="004A4F69">
            <w:pPr>
              <w:spacing w:afterLines="80" w:after="192" w:line="240" w:lineRule="auto"/>
              <w:rPr>
                <w:sz w:val="18"/>
                <w:szCs w:val="18"/>
              </w:rPr>
            </w:pPr>
          </w:p>
        </w:tc>
        <w:tc>
          <w:tcPr>
            <w:tcW w:w="2283" w:type="dxa"/>
            <w:tcBorders>
              <w:top w:val="single" w:sz="4" w:space="0" w:color="A5A5A5"/>
              <w:left w:val="single" w:sz="4" w:space="0" w:color="A5A5A5"/>
              <w:bottom w:val="single" w:sz="4" w:space="0" w:color="A5A5A5"/>
              <w:right w:val="single" w:sz="4" w:space="0" w:color="A5A5A5"/>
            </w:tcBorders>
            <w:shd w:val="clear" w:color="auto" w:fill="F2F2F2"/>
            <w:tcMar>
              <w:top w:w="59" w:type="dxa"/>
              <w:left w:w="89" w:type="dxa"/>
              <w:bottom w:w="59" w:type="dxa"/>
              <w:right w:w="89" w:type="dxa"/>
            </w:tcMar>
            <w:hideMark/>
          </w:tcPr>
          <w:p w14:paraId="34B9957B" w14:textId="77777777" w:rsidR="0023083C" w:rsidRPr="0023083C" w:rsidRDefault="0023083C" w:rsidP="004A4F69">
            <w:pPr>
              <w:spacing w:afterLines="80" w:after="192" w:line="240" w:lineRule="auto"/>
              <w:rPr>
                <w:sz w:val="18"/>
                <w:szCs w:val="18"/>
              </w:rPr>
            </w:pPr>
            <w:r w:rsidRPr="0023083C">
              <w:rPr>
                <w:b/>
                <w:bCs/>
                <w:sz w:val="18"/>
                <w:szCs w:val="18"/>
              </w:rPr>
              <w:t>Criteria to meet this Type</w:t>
            </w:r>
          </w:p>
        </w:tc>
        <w:tc>
          <w:tcPr>
            <w:tcW w:w="2532" w:type="dxa"/>
            <w:tcBorders>
              <w:top w:val="single" w:sz="4" w:space="0" w:color="A5A5A5"/>
              <w:left w:val="single" w:sz="4" w:space="0" w:color="A5A5A5"/>
              <w:bottom w:val="single" w:sz="4" w:space="0" w:color="A5A5A5"/>
              <w:right w:val="single" w:sz="4" w:space="0" w:color="A5A5A5"/>
            </w:tcBorders>
            <w:shd w:val="clear" w:color="auto" w:fill="F2F2F2"/>
            <w:tcMar>
              <w:top w:w="43" w:type="dxa"/>
              <w:left w:w="85" w:type="dxa"/>
              <w:bottom w:w="43" w:type="dxa"/>
              <w:right w:w="85" w:type="dxa"/>
            </w:tcMar>
            <w:hideMark/>
          </w:tcPr>
          <w:p w14:paraId="4EA85478" w14:textId="77777777" w:rsidR="0023083C" w:rsidRPr="0023083C" w:rsidRDefault="0023083C" w:rsidP="004A4F69">
            <w:pPr>
              <w:spacing w:afterLines="80" w:after="192" w:line="240" w:lineRule="auto"/>
              <w:rPr>
                <w:sz w:val="18"/>
                <w:szCs w:val="18"/>
              </w:rPr>
            </w:pPr>
            <w:r w:rsidRPr="0023083C">
              <w:rPr>
                <w:b/>
                <w:bCs/>
                <w:sz w:val="18"/>
                <w:szCs w:val="18"/>
              </w:rPr>
              <w:t>Claims that can be made</w:t>
            </w:r>
          </w:p>
        </w:tc>
        <w:tc>
          <w:tcPr>
            <w:tcW w:w="7550" w:type="dxa"/>
            <w:tcBorders>
              <w:top w:val="single" w:sz="4" w:space="0" w:color="A5A5A5"/>
              <w:left w:val="single" w:sz="4" w:space="0" w:color="A5A5A5"/>
              <w:bottom w:val="single" w:sz="4" w:space="0" w:color="A5A5A5"/>
              <w:right w:val="single" w:sz="4" w:space="0" w:color="A5A5A5"/>
            </w:tcBorders>
            <w:shd w:val="clear" w:color="auto" w:fill="F2F2F2"/>
          </w:tcPr>
          <w:p w14:paraId="2ABD4FB2" w14:textId="77777777" w:rsidR="0023083C" w:rsidRPr="0023083C" w:rsidRDefault="0023083C" w:rsidP="004A4F69">
            <w:pPr>
              <w:spacing w:after="80" w:line="240" w:lineRule="auto"/>
              <w:rPr>
                <w:b/>
                <w:bCs/>
                <w:sz w:val="18"/>
                <w:szCs w:val="18"/>
              </w:rPr>
            </w:pPr>
            <w:r w:rsidRPr="0023083C">
              <w:rPr>
                <w:b/>
                <w:bCs/>
                <w:sz w:val="18"/>
                <w:szCs w:val="18"/>
              </w:rPr>
              <w:t>Evidence</w:t>
            </w:r>
          </w:p>
        </w:tc>
        <w:tc>
          <w:tcPr>
            <w:tcW w:w="583" w:type="dxa"/>
            <w:tcBorders>
              <w:top w:val="single" w:sz="4" w:space="0" w:color="A5A5A5"/>
              <w:left w:val="single" w:sz="4" w:space="0" w:color="A5A5A5"/>
              <w:bottom w:val="single" w:sz="4" w:space="0" w:color="A5A5A5"/>
              <w:right w:val="single" w:sz="4" w:space="0" w:color="A5A5A5"/>
            </w:tcBorders>
            <w:shd w:val="clear" w:color="auto" w:fill="F2F2F2"/>
          </w:tcPr>
          <w:p w14:paraId="3BA719CF" w14:textId="77777777" w:rsidR="0023083C" w:rsidRPr="0023083C" w:rsidRDefault="0023083C" w:rsidP="004A4F69">
            <w:pPr>
              <w:spacing w:afterLines="80" w:after="192" w:line="240" w:lineRule="auto"/>
              <w:rPr>
                <w:b/>
                <w:bCs/>
                <w:sz w:val="18"/>
                <w:szCs w:val="18"/>
              </w:rPr>
            </w:pPr>
          </w:p>
        </w:tc>
      </w:tr>
      <w:tr w:rsidR="00171B1C" w:rsidRPr="0023083C" w14:paraId="2B062391" w14:textId="77777777" w:rsidTr="007F71E9">
        <w:trPr>
          <w:cantSplit/>
          <w:trHeight w:val="1417"/>
        </w:trPr>
        <w:tc>
          <w:tcPr>
            <w:tcW w:w="1099" w:type="dxa"/>
            <w:tcBorders>
              <w:top w:val="single" w:sz="4" w:space="0" w:color="A5A5A5"/>
              <w:left w:val="single" w:sz="4" w:space="0" w:color="A5A5A5"/>
              <w:bottom w:val="single" w:sz="4" w:space="0" w:color="A5A5A5"/>
              <w:right w:val="single" w:sz="4" w:space="0" w:color="A5A5A5"/>
            </w:tcBorders>
            <w:shd w:val="clear" w:color="auto" w:fill="F2F2F2"/>
            <w:tcMar>
              <w:top w:w="59" w:type="dxa"/>
              <w:left w:w="89" w:type="dxa"/>
              <w:bottom w:w="59" w:type="dxa"/>
              <w:right w:w="89" w:type="dxa"/>
            </w:tcMar>
            <w:hideMark/>
          </w:tcPr>
          <w:p w14:paraId="577AF868" w14:textId="77777777" w:rsidR="00627031" w:rsidRPr="0023083C" w:rsidRDefault="00627031" w:rsidP="005A339C">
            <w:pPr>
              <w:spacing w:afterLines="80" w:after="192" w:line="240" w:lineRule="auto"/>
              <w:rPr>
                <w:sz w:val="18"/>
                <w:szCs w:val="18"/>
              </w:rPr>
            </w:pPr>
            <w:r>
              <w:rPr>
                <w:sz w:val="18"/>
                <w:szCs w:val="18"/>
              </w:rPr>
              <w:t>‘+’ designation</w:t>
            </w:r>
            <w:r w:rsidRPr="0023083C">
              <w:rPr>
                <w:sz w:val="18"/>
                <w:szCs w:val="18"/>
              </w:rPr>
              <w:t xml:space="preserve"> </w:t>
            </w:r>
          </w:p>
          <w:p w14:paraId="23989D5A" w14:textId="77777777" w:rsidR="00627031" w:rsidRPr="0023083C" w:rsidRDefault="00627031" w:rsidP="005A339C">
            <w:pPr>
              <w:spacing w:afterLines="80" w:after="192" w:line="240" w:lineRule="auto"/>
              <w:rPr>
                <w:sz w:val="18"/>
                <w:szCs w:val="18"/>
              </w:rPr>
            </w:pPr>
            <w:r w:rsidRPr="0023083C">
              <w:rPr>
                <w:sz w:val="18"/>
                <w:szCs w:val="18"/>
              </w:rPr>
              <w:t> </w:t>
            </w:r>
          </w:p>
        </w:tc>
        <w:tc>
          <w:tcPr>
            <w:tcW w:w="2283" w:type="dxa"/>
            <w:tcBorders>
              <w:top w:val="single" w:sz="4" w:space="0" w:color="A5A5A5"/>
              <w:left w:val="single" w:sz="4" w:space="0" w:color="A5A5A5"/>
              <w:bottom w:val="single" w:sz="4" w:space="0" w:color="A5A5A5"/>
              <w:right w:val="single" w:sz="4" w:space="0" w:color="A5A5A5"/>
            </w:tcBorders>
            <w:shd w:val="clear" w:color="auto" w:fill="F2F2F2"/>
            <w:tcMar>
              <w:top w:w="59" w:type="dxa"/>
              <w:left w:w="89" w:type="dxa"/>
              <w:bottom w:w="59" w:type="dxa"/>
              <w:right w:w="89" w:type="dxa"/>
            </w:tcMar>
            <w:hideMark/>
          </w:tcPr>
          <w:p w14:paraId="30D94AEE" w14:textId="501AF31E" w:rsidR="00627031" w:rsidRPr="0023083C" w:rsidRDefault="00627031" w:rsidP="005A339C">
            <w:pPr>
              <w:spacing w:afterLines="80" w:after="192" w:line="240" w:lineRule="auto"/>
              <w:rPr>
                <w:sz w:val="18"/>
                <w:szCs w:val="18"/>
              </w:rPr>
            </w:pPr>
            <w:r w:rsidRPr="0023083C">
              <w:rPr>
                <w:sz w:val="18"/>
                <w:szCs w:val="18"/>
              </w:rPr>
              <w:t>The impact evaluation is underpinned b</w:t>
            </w:r>
            <w:r>
              <w:rPr>
                <w:sz w:val="18"/>
                <w:szCs w:val="18"/>
              </w:rPr>
              <w:t>e</w:t>
            </w:r>
            <w:r w:rsidRPr="0023083C">
              <w:rPr>
                <w:sz w:val="18"/>
                <w:szCs w:val="18"/>
              </w:rPr>
              <w:t xml:space="preserve"> detailed articulation of the considerations required to faithfully replicate it</w:t>
            </w:r>
            <w:r w:rsidR="00E728AA">
              <w:rPr>
                <w:sz w:val="18"/>
                <w:szCs w:val="18"/>
              </w:rPr>
              <w:t xml:space="preserve">. </w:t>
            </w:r>
            <w:r w:rsidRPr="0023083C">
              <w:rPr>
                <w:sz w:val="18"/>
                <w:szCs w:val="18"/>
              </w:rPr>
              <w:t xml:space="preserve">   </w:t>
            </w:r>
          </w:p>
        </w:tc>
        <w:tc>
          <w:tcPr>
            <w:tcW w:w="2532" w:type="dxa"/>
            <w:tcBorders>
              <w:top w:val="single" w:sz="4" w:space="0" w:color="A5A5A5"/>
              <w:left w:val="single" w:sz="4" w:space="0" w:color="A5A5A5"/>
              <w:bottom w:val="single" w:sz="4" w:space="0" w:color="A5A5A5"/>
              <w:right w:val="single" w:sz="4" w:space="0" w:color="A5A5A5"/>
            </w:tcBorders>
            <w:shd w:val="clear" w:color="auto" w:fill="F2F2F2"/>
            <w:tcMar>
              <w:top w:w="59" w:type="dxa"/>
              <w:left w:w="89" w:type="dxa"/>
              <w:bottom w:w="59" w:type="dxa"/>
              <w:right w:w="89" w:type="dxa"/>
            </w:tcMar>
            <w:hideMark/>
          </w:tcPr>
          <w:p w14:paraId="1B1C6002" w14:textId="77777777" w:rsidR="00627031" w:rsidRPr="0023083C" w:rsidRDefault="00627031" w:rsidP="005A339C">
            <w:pPr>
              <w:spacing w:afterLines="80" w:after="192" w:line="240" w:lineRule="auto"/>
              <w:rPr>
                <w:sz w:val="18"/>
                <w:szCs w:val="18"/>
              </w:rPr>
            </w:pPr>
            <w:r w:rsidRPr="0023083C">
              <w:rPr>
                <w:b/>
                <w:bCs/>
                <w:sz w:val="18"/>
                <w:szCs w:val="18"/>
              </w:rPr>
              <w:t>Claims of transferability</w:t>
            </w:r>
            <w:r w:rsidRPr="0023083C">
              <w:rPr>
                <w:b/>
                <w:bCs/>
                <w:sz w:val="18"/>
                <w:szCs w:val="18"/>
              </w:rPr>
              <w:br/>
            </w:r>
            <w:r w:rsidRPr="0023083C">
              <w:rPr>
                <w:sz w:val="18"/>
                <w:szCs w:val="18"/>
              </w:rPr>
              <w:t>We understand enough about effectiveness in context and the systems and procedures to ensure consistent replication and positive impact</w:t>
            </w:r>
          </w:p>
          <w:p w14:paraId="2A9BF482" w14:textId="77777777" w:rsidR="00627031" w:rsidRPr="0023083C" w:rsidRDefault="00627031" w:rsidP="005A339C">
            <w:pPr>
              <w:spacing w:afterLines="80" w:after="192" w:line="240" w:lineRule="auto"/>
              <w:rPr>
                <w:sz w:val="18"/>
                <w:szCs w:val="18"/>
              </w:rPr>
            </w:pPr>
          </w:p>
        </w:tc>
        <w:tc>
          <w:tcPr>
            <w:tcW w:w="7550" w:type="dxa"/>
            <w:tcBorders>
              <w:top w:val="single" w:sz="4" w:space="0" w:color="A5A5A5"/>
              <w:left w:val="single" w:sz="4" w:space="0" w:color="A5A5A5"/>
              <w:bottom w:val="single" w:sz="4" w:space="0" w:color="A5A5A5"/>
              <w:right w:val="single" w:sz="4" w:space="0" w:color="A5A5A5"/>
            </w:tcBorders>
            <w:shd w:val="clear" w:color="auto" w:fill="F2F2F2"/>
          </w:tcPr>
          <w:p w14:paraId="3BFFF984" w14:textId="0F06AC63" w:rsidR="00627031" w:rsidRPr="000D1D9F" w:rsidRDefault="00627031" w:rsidP="005A339C">
            <w:pPr>
              <w:rPr>
                <w:sz w:val="18"/>
                <w:szCs w:val="18"/>
              </w:rPr>
            </w:pPr>
            <w:r>
              <w:rPr>
                <w:sz w:val="18"/>
                <w:szCs w:val="18"/>
              </w:rPr>
              <w:t>You</w:t>
            </w:r>
            <w:r w:rsidRPr="000D1D9F">
              <w:rPr>
                <w:sz w:val="18"/>
                <w:szCs w:val="18"/>
              </w:rPr>
              <w:t xml:space="preserve"> can explain how and why the intervention had the observed impact on the access and participation objectives it was designed to address and can demonstrate the requirements in terms of implementation and delivery that are needed for the positive impact to be achieved in practice</w:t>
            </w:r>
            <w:r w:rsidR="007F71E9">
              <w:rPr>
                <w:sz w:val="18"/>
                <w:szCs w:val="18"/>
              </w:rPr>
              <w:t xml:space="preserve">. </w:t>
            </w:r>
          </w:p>
        </w:tc>
        <w:tc>
          <w:tcPr>
            <w:tcW w:w="583" w:type="dxa"/>
            <w:tcBorders>
              <w:top w:val="single" w:sz="4" w:space="0" w:color="A5A5A5"/>
              <w:left w:val="single" w:sz="4" w:space="0" w:color="A5A5A5"/>
              <w:bottom w:val="single" w:sz="4" w:space="0" w:color="A5A5A5"/>
              <w:right w:val="single" w:sz="4" w:space="0" w:color="A5A5A5"/>
            </w:tcBorders>
            <w:shd w:val="clear" w:color="auto" w:fill="F2F2F2"/>
            <w:textDirection w:val="btLr"/>
            <w:vAlign w:val="center"/>
          </w:tcPr>
          <w:p w14:paraId="66141212" w14:textId="77777777" w:rsidR="00627031" w:rsidRPr="0023083C" w:rsidRDefault="00627031" w:rsidP="005A339C">
            <w:pPr>
              <w:spacing w:afterLines="80" w:after="192" w:line="240" w:lineRule="auto"/>
              <w:ind w:left="113" w:right="113"/>
              <w:jc w:val="center"/>
              <w:rPr>
                <w:sz w:val="18"/>
                <w:szCs w:val="18"/>
              </w:rPr>
            </w:pPr>
            <w:r w:rsidRPr="0023083C">
              <w:rPr>
                <w:sz w:val="18"/>
                <w:szCs w:val="18"/>
              </w:rPr>
              <w:t>Replicable Practice</w:t>
            </w:r>
          </w:p>
        </w:tc>
      </w:tr>
    </w:tbl>
    <w:p w14:paraId="535135F2" w14:textId="77777777" w:rsidR="007F71E9" w:rsidRPr="007F71E9" w:rsidRDefault="007F71E9" w:rsidP="007F71E9">
      <w:pPr>
        <w:pStyle w:val="Gap"/>
        <w:rPr>
          <w:sz w:val="2"/>
          <w:szCs w:val="2"/>
        </w:rPr>
      </w:pPr>
    </w:p>
    <w:p w14:paraId="258F4227" w14:textId="15BB73AB" w:rsidR="00627031" w:rsidRPr="007F71E9" w:rsidRDefault="007F71E9" w:rsidP="007F71E9">
      <w:pPr>
        <w:spacing w:after="0"/>
        <w:rPr>
          <w:sz w:val="16"/>
          <w:szCs w:val="18"/>
        </w:rPr>
      </w:pPr>
      <w:r w:rsidRPr="007F71E9">
        <w:rPr>
          <w:sz w:val="16"/>
          <w:szCs w:val="18"/>
        </w:rPr>
        <w:t xml:space="preserve">*Note transferability requires understanding of both the original intervention context and the new setting </w:t>
      </w:r>
      <w:proofErr w:type="gramStart"/>
      <w:r w:rsidRPr="007F71E9">
        <w:rPr>
          <w:sz w:val="16"/>
          <w:szCs w:val="18"/>
        </w:rPr>
        <w:t>in order to</w:t>
      </w:r>
      <w:proofErr w:type="gramEnd"/>
      <w:r w:rsidRPr="007F71E9">
        <w:rPr>
          <w:sz w:val="16"/>
          <w:szCs w:val="18"/>
        </w:rPr>
        <w:t xml:space="preserve"> consider whether an intervention that worked in one context can be adapted and still be effective in a different context.  </w:t>
      </w:r>
    </w:p>
    <w:p w14:paraId="03E988CB" w14:textId="77777777" w:rsidR="00627031" w:rsidRDefault="00627031" w:rsidP="00627031">
      <w:pPr>
        <w:spacing w:after="0"/>
        <w:rPr>
          <w:sz w:val="16"/>
          <w:szCs w:val="18"/>
        </w:rPr>
      </w:pPr>
    </w:p>
    <w:p w14:paraId="3131972F" w14:textId="77777777" w:rsidR="00627031" w:rsidRDefault="00627031" w:rsidP="00627031">
      <w:pPr>
        <w:pStyle w:val="Heading3"/>
        <w:sectPr w:rsidR="00627031" w:rsidSect="00627031">
          <w:pgSz w:w="16838" w:h="11906" w:orient="landscape"/>
          <w:pgMar w:top="1276" w:right="1440" w:bottom="993" w:left="1440" w:header="708" w:footer="708" w:gutter="0"/>
          <w:cols w:space="708"/>
          <w:docGrid w:linePitch="360"/>
        </w:sectPr>
      </w:pPr>
    </w:p>
    <w:p w14:paraId="5681ABD5" w14:textId="77777777" w:rsidR="00627031" w:rsidRDefault="00627031" w:rsidP="00627031">
      <w:pPr>
        <w:pStyle w:val="Heading3"/>
      </w:pPr>
      <w:bookmarkStart w:id="93" w:name="_Toc205033911"/>
      <w:bookmarkStart w:id="94" w:name="_Toc205504287"/>
      <w:r>
        <w:lastRenderedPageBreak/>
        <w:t>ANNEX 3: INTERATION OF THEORY-BASED EVALUATION FOR COMPLEX INTERVENTIONS</w:t>
      </w:r>
      <w:bookmarkEnd w:id="93"/>
      <w:bookmarkEnd w:id="94"/>
    </w:p>
    <w:p w14:paraId="38575AB5" w14:textId="77777777" w:rsidR="00171B1C" w:rsidRDefault="00171B1C" w:rsidP="00171B1C">
      <w:pPr>
        <w:ind w:right="-35"/>
      </w:pPr>
      <w:r w:rsidRPr="00F71647">
        <w:t>According to the Magenta Book, theory-based methods are appropriate when experimental or quasi-experimental designs aren’t feasible, and they can still meet high standards of evidence if they:</w:t>
      </w:r>
      <w:r>
        <w:t xml:space="preserve"> c</w:t>
      </w:r>
      <w:r w:rsidRPr="00F71647">
        <w:t>learly articulate a theory of change</w:t>
      </w:r>
      <w:r>
        <w:t>; g</w:t>
      </w:r>
      <w:r w:rsidRPr="00F71647">
        <w:t>ather robust evidence to test causal mechanisms</w:t>
      </w:r>
      <w:r>
        <w:t>; r</w:t>
      </w:r>
      <w:r w:rsidRPr="00F71647">
        <w:t>ule out rival explanations</w:t>
      </w:r>
      <w:r>
        <w:t>.</w:t>
      </w:r>
      <w:r>
        <w:rPr>
          <w:rStyle w:val="FootnoteReference"/>
        </w:rPr>
        <w:footnoteReference w:id="17"/>
      </w:r>
      <w:r>
        <w:t xml:space="preserve"> Existing theory of change guidance already puts a focus on theory-based evaluation but clarity is needed on how to evaluate the impact of a programme design using a theory of change approach. </w:t>
      </w:r>
    </w:p>
    <w:p w14:paraId="0A3F95DE" w14:textId="77777777" w:rsidR="00171B1C" w:rsidRDefault="00171B1C" w:rsidP="00171B1C">
      <w:pPr>
        <w:ind w:right="-35"/>
      </w:pPr>
      <w:r>
        <w:t xml:space="preserve">Suggestions for how the standards of evidence could be achieved using ‘hybrid evaluation methods that combine outcome/impact evidence with theory-based evaluation methods are given here. </w:t>
      </w:r>
    </w:p>
    <w:p w14:paraId="44651D65" w14:textId="77777777" w:rsidR="00171B1C" w:rsidRPr="00F71647" w:rsidRDefault="00171B1C" w:rsidP="00171B1C">
      <w:r>
        <w:t>‘Hybrid’ evaluation methods</w:t>
      </w:r>
    </w:p>
    <w:tbl>
      <w:tblPr>
        <w:tblStyle w:val="TableGrid"/>
        <w:tblW w:w="0" w:type="auto"/>
        <w:tblLook w:val="04A0" w:firstRow="1" w:lastRow="0" w:firstColumn="1" w:lastColumn="0" w:noHBand="0" w:noVBand="1"/>
      </w:tblPr>
      <w:tblGrid>
        <w:gridCol w:w="1584"/>
        <w:gridCol w:w="2716"/>
        <w:gridCol w:w="2718"/>
        <w:gridCol w:w="2718"/>
      </w:tblGrid>
      <w:tr w:rsidR="00171B1C" w14:paraId="1C797115" w14:textId="77777777" w:rsidTr="00996E63">
        <w:tc>
          <w:tcPr>
            <w:tcW w:w="1584" w:type="dxa"/>
          </w:tcPr>
          <w:p w14:paraId="76258AEC" w14:textId="77777777" w:rsidR="00171B1C" w:rsidRDefault="00171B1C" w:rsidP="00996E63">
            <w:pPr>
              <w:pStyle w:val="Boxsmall"/>
            </w:pPr>
          </w:p>
        </w:tc>
        <w:tc>
          <w:tcPr>
            <w:tcW w:w="2730" w:type="dxa"/>
            <w:vAlign w:val="center"/>
          </w:tcPr>
          <w:p w14:paraId="194F7AC5" w14:textId="77777777" w:rsidR="00171B1C" w:rsidRDefault="00171B1C" w:rsidP="00996E63">
            <w:pPr>
              <w:pStyle w:val="Boxsmall"/>
              <w:spacing w:after="40"/>
            </w:pPr>
            <w:r>
              <w:t>Type 1</w:t>
            </w:r>
          </w:p>
        </w:tc>
        <w:tc>
          <w:tcPr>
            <w:tcW w:w="2731" w:type="dxa"/>
            <w:vAlign w:val="center"/>
          </w:tcPr>
          <w:p w14:paraId="192594EF" w14:textId="77777777" w:rsidR="00171B1C" w:rsidRDefault="00171B1C" w:rsidP="00996E63">
            <w:pPr>
              <w:pStyle w:val="Boxsmall"/>
              <w:spacing w:after="40"/>
            </w:pPr>
            <w:r>
              <w:t>Type 2</w:t>
            </w:r>
          </w:p>
        </w:tc>
        <w:tc>
          <w:tcPr>
            <w:tcW w:w="2731" w:type="dxa"/>
            <w:vAlign w:val="center"/>
          </w:tcPr>
          <w:p w14:paraId="51CF6599" w14:textId="77777777" w:rsidR="00171B1C" w:rsidRDefault="00171B1C" w:rsidP="00996E63">
            <w:pPr>
              <w:pStyle w:val="Boxsmall"/>
              <w:spacing w:after="40"/>
            </w:pPr>
            <w:r>
              <w:t>Type 3</w:t>
            </w:r>
          </w:p>
        </w:tc>
      </w:tr>
      <w:tr w:rsidR="00171B1C" w14:paraId="6AC88E0C" w14:textId="77777777" w:rsidTr="00996E63">
        <w:tc>
          <w:tcPr>
            <w:tcW w:w="1584" w:type="dxa"/>
          </w:tcPr>
          <w:p w14:paraId="79F3E594" w14:textId="77777777" w:rsidR="00171B1C" w:rsidRDefault="00171B1C" w:rsidP="00996E63">
            <w:pPr>
              <w:pStyle w:val="Boxsmall"/>
            </w:pPr>
            <w:r>
              <w:t>Standards of evidence focus</w:t>
            </w:r>
          </w:p>
        </w:tc>
        <w:tc>
          <w:tcPr>
            <w:tcW w:w="2730" w:type="dxa"/>
            <w:vAlign w:val="center"/>
          </w:tcPr>
          <w:p w14:paraId="1CBB4C63" w14:textId="77777777" w:rsidR="00171B1C" w:rsidRDefault="00171B1C" w:rsidP="00996E63">
            <w:pPr>
              <w:pStyle w:val="Boxsmall"/>
              <w:spacing w:after="40"/>
            </w:pPr>
            <w:r>
              <w:t xml:space="preserve">How does the programme make a difference to the outcomes? </w:t>
            </w:r>
          </w:p>
        </w:tc>
        <w:tc>
          <w:tcPr>
            <w:tcW w:w="2731" w:type="dxa"/>
            <w:vAlign w:val="center"/>
          </w:tcPr>
          <w:p w14:paraId="586E41EA" w14:textId="77777777" w:rsidR="00171B1C" w:rsidRDefault="00171B1C" w:rsidP="00996E63">
            <w:pPr>
              <w:pStyle w:val="Boxsmall"/>
              <w:spacing w:after="40"/>
            </w:pPr>
            <w:r>
              <w:t>The difference compared to a counterfactual estimate?</w:t>
            </w:r>
          </w:p>
        </w:tc>
        <w:tc>
          <w:tcPr>
            <w:tcW w:w="2731" w:type="dxa"/>
            <w:vAlign w:val="center"/>
          </w:tcPr>
          <w:p w14:paraId="18E38095" w14:textId="60EF7D6B" w:rsidR="00171B1C" w:rsidRDefault="00171B1C" w:rsidP="00996E63">
            <w:pPr>
              <w:pStyle w:val="Boxsmall"/>
              <w:spacing w:after="40"/>
            </w:pPr>
            <w:r>
              <w:t xml:space="preserve">The difference that can be attributed directly to the </w:t>
            </w:r>
            <w:proofErr w:type="gramStart"/>
            <w:r>
              <w:t>programme?</w:t>
            </w:r>
            <w:proofErr w:type="gramEnd"/>
            <w:r>
              <w:t xml:space="preserve"> </w:t>
            </w:r>
          </w:p>
        </w:tc>
      </w:tr>
      <w:tr w:rsidR="00171B1C" w14:paraId="3A6CEB11" w14:textId="77777777" w:rsidTr="00996E63">
        <w:tc>
          <w:tcPr>
            <w:tcW w:w="1584" w:type="dxa"/>
          </w:tcPr>
          <w:p w14:paraId="2AFE4BDC" w14:textId="77777777" w:rsidR="00171B1C" w:rsidRDefault="00171B1C" w:rsidP="00996E63">
            <w:pPr>
              <w:pStyle w:val="Boxsmall"/>
            </w:pPr>
            <w:r>
              <w:t>Implementation and Process Evaluation (IPE) focus*</w:t>
            </w:r>
          </w:p>
        </w:tc>
        <w:tc>
          <w:tcPr>
            <w:tcW w:w="8192" w:type="dxa"/>
            <w:gridSpan w:val="3"/>
            <w:vAlign w:val="center"/>
          </w:tcPr>
          <w:p w14:paraId="78B1072B" w14:textId="77777777" w:rsidR="00171B1C" w:rsidRDefault="00171B1C" w:rsidP="00996E63">
            <w:pPr>
              <w:pStyle w:val="Boxsmall"/>
              <w:spacing w:after="40"/>
            </w:pPr>
            <w:r>
              <w:t>Did the programme reach the target group(s) and how was it implemented and experienced in practice</w:t>
            </w:r>
          </w:p>
        </w:tc>
      </w:tr>
      <w:tr w:rsidR="00171B1C" w14:paraId="4B798A09" w14:textId="77777777" w:rsidTr="00996E63">
        <w:tc>
          <w:tcPr>
            <w:tcW w:w="1584" w:type="dxa"/>
          </w:tcPr>
          <w:p w14:paraId="7F82BB1F" w14:textId="77777777" w:rsidR="00171B1C" w:rsidRDefault="00171B1C" w:rsidP="00996E63">
            <w:pPr>
              <w:pStyle w:val="Boxsmall"/>
            </w:pPr>
            <w:r>
              <w:t>Theory-based evaluation focus</w:t>
            </w:r>
          </w:p>
        </w:tc>
        <w:tc>
          <w:tcPr>
            <w:tcW w:w="2730" w:type="dxa"/>
            <w:vAlign w:val="center"/>
          </w:tcPr>
          <w:p w14:paraId="55518D32" w14:textId="77777777" w:rsidR="00171B1C" w:rsidRDefault="00171B1C" w:rsidP="00996E63">
            <w:pPr>
              <w:pStyle w:val="Boxsmall"/>
              <w:spacing w:after="40"/>
            </w:pPr>
            <w:r>
              <w:t>How was the programme implemented? Were there deviations from the original plan? (Formative)</w:t>
            </w:r>
          </w:p>
        </w:tc>
        <w:tc>
          <w:tcPr>
            <w:tcW w:w="2731" w:type="dxa"/>
            <w:vAlign w:val="center"/>
          </w:tcPr>
          <w:p w14:paraId="34A29799" w14:textId="77777777" w:rsidR="00171B1C" w:rsidRDefault="00171B1C" w:rsidP="00996E63">
            <w:pPr>
              <w:pStyle w:val="Boxsmall"/>
              <w:spacing w:after="40"/>
            </w:pPr>
            <w:r>
              <w:t>How does the implementation affect the outcomes? What does good implementation look like? (Summative)</w:t>
            </w:r>
          </w:p>
        </w:tc>
        <w:tc>
          <w:tcPr>
            <w:tcW w:w="2731" w:type="dxa"/>
            <w:vAlign w:val="center"/>
          </w:tcPr>
          <w:p w14:paraId="5C9E99A7" w14:textId="77777777" w:rsidR="00171B1C" w:rsidRDefault="00171B1C" w:rsidP="00996E63">
            <w:pPr>
              <w:pStyle w:val="Boxsmall"/>
              <w:spacing w:after="40"/>
            </w:pPr>
            <w:r>
              <w:t>Understanding what was implemented and what are the implications in terms of the c</w:t>
            </w:r>
            <w:r w:rsidRPr="00AF7224">
              <w:t xml:space="preserve">ausal effect of </w:t>
            </w:r>
            <w:r>
              <w:t>what was implemented</w:t>
            </w:r>
            <w:r w:rsidRPr="00AF7224">
              <w:t xml:space="preserve"> on</w:t>
            </w:r>
            <w:r>
              <w:t xml:space="preserve"> the outcomes in context? (Summative) </w:t>
            </w:r>
          </w:p>
        </w:tc>
      </w:tr>
      <w:tr w:rsidR="00171B1C" w14:paraId="399A0B70" w14:textId="77777777" w:rsidTr="00996E63">
        <w:tc>
          <w:tcPr>
            <w:tcW w:w="1584" w:type="dxa"/>
          </w:tcPr>
          <w:p w14:paraId="10B16A77" w14:textId="77777777" w:rsidR="00171B1C" w:rsidRDefault="00171B1C" w:rsidP="00996E63">
            <w:pPr>
              <w:pStyle w:val="Boxsmall"/>
            </w:pPr>
            <w:r>
              <w:t xml:space="preserve">Examples of Hybrid </w:t>
            </w:r>
            <w:proofErr w:type="gramStart"/>
            <w:r>
              <w:t>methods?*</w:t>
            </w:r>
            <w:proofErr w:type="gramEnd"/>
            <w:r>
              <w:t>**</w:t>
            </w:r>
          </w:p>
        </w:tc>
        <w:tc>
          <w:tcPr>
            <w:tcW w:w="2730" w:type="dxa"/>
          </w:tcPr>
          <w:p w14:paraId="014E1FFD" w14:textId="77777777" w:rsidR="00171B1C" w:rsidRDefault="00171B1C" w:rsidP="00996E63">
            <w:pPr>
              <w:pStyle w:val="Boxsmall"/>
              <w:spacing w:after="40"/>
            </w:pPr>
            <w:r>
              <w:t>Literature Review to articulate the rationale and link it to existing evidence of effectiveness.</w:t>
            </w:r>
          </w:p>
          <w:p w14:paraId="2D2DEEB3" w14:textId="77777777" w:rsidR="00171B1C" w:rsidRDefault="00171B1C" w:rsidP="00996E63">
            <w:pPr>
              <w:pStyle w:val="Boxsmall"/>
              <w:spacing w:after="40"/>
            </w:pPr>
            <w:r>
              <w:t>Theory of Change + stakeholder input to co-create/justify the intervention logic.</w:t>
            </w:r>
          </w:p>
          <w:p w14:paraId="562B0EF0" w14:textId="77777777" w:rsidR="00171B1C" w:rsidRDefault="00171B1C" w:rsidP="00996E63">
            <w:pPr>
              <w:pStyle w:val="Boxsmall"/>
              <w:spacing w:after="40"/>
            </w:pPr>
            <w:r>
              <w:t>Contribution Mapping to show how the programme fits within a wider system of change.</w:t>
            </w:r>
          </w:p>
          <w:p w14:paraId="4CE8DE39" w14:textId="77777777" w:rsidR="00171B1C" w:rsidRDefault="00171B1C" w:rsidP="00996E63">
            <w:pPr>
              <w:pStyle w:val="Boxsmall"/>
              <w:spacing w:after="40"/>
            </w:pPr>
          </w:p>
        </w:tc>
        <w:tc>
          <w:tcPr>
            <w:tcW w:w="2731" w:type="dxa"/>
          </w:tcPr>
          <w:p w14:paraId="1CA20860" w14:textId="77777777" w:rsidR="00171B1C" w:rsidRDefault="00171B1C" w:rsidP="00996E63">
            <w:pPr>
              <w:pStyle w:val="Boxsmall"/>
              <w:spacing w:after="40"/>
            </w:pPr>
            <w:r>
              <w:t>Theory of Change + Pre/Post Survey (measure change in confidence or engagement before and after participation)</w:t>
            </w:r>
          </w:p>
          <w:p w14:paraId="0F281249" w14:textId="77777777" w:rsidR="00171B1C" w:rsidRDefault="00171B1C" w:rsidP="00996E63">
            <w:pPr>
              <w:pStyle w:val="Boxsmall"/>
              <w:spacing w:after="40"/>
            </w:pPr>
            <w:r>
              <w:t>Realist Evaluation using mixed methods (explore what works, for whom, and in what contexts).</w:t>
            </w:r>
          </w:p>
          <w:p w14:paraId="0F5231F8" w14:textId="77777777" w:rsidR="00171B1C" w:rsidRDefault="00171B1C" w:rsidP="00996E63">
            <w:pPr>
              <w:pStyle w:val="Boxsmall"/>
              <w:spacing w:after="40"/>
            </w:pPr>
            <w:r>
              <w:t>Process Tracing (quant &amp; qual evidence to test steps in the theory of change)</w:t>
            </w:r>
          </w:p>
        </w:tc>
        <w:tc>
          <w:tcPr>
            <w:tcW w:w="2731" w:type="dxa"/>
          </w:tcPr>
          <w:p w14:paraId="5F53BA74" w14:textId="77777777" w:rsidR="00171B1C" w:rsidRDefault="00171B1C" w:rsidP="00996E63">
            <w:pPr>
              <w:pStyle w:val="Boxsmall"/>
              <w:spacing w:after="40"/>
            </w:pPr>
            <w:r w:rsidRPr="00AF7224">
              <w:t>Realist Evaluation + Difference-in-Differences</w:t>
            </w:r>
            <w:r>
              <w:t xml:space="preserve"> (e</w:t>
            </w:r>
            <w:r w:rsidRPr="00AF7224">
              <w:t>xplore causal pathways while comparing outcomes over time between groups</w:t>
            </w:r>
            <w:r>
              <w:t>)</w:t>
            </w:r>
            <w:r w:rsidRPr="00AF7224">
              <w:t>.</w:t>
            </w:r>
          </w:p>
          <w:p w14:paraId="2A24D94C" w14:textId="77777777" w:rsidR="00171B1C" w:rsidRDefault="00171B1C" w:rsidP="00996E63">
            <w:pPr>
              <w:pStyle w:val="Boxsmall"/>
              <w:spacing w:after="40"/>
            </w:pPr>
            <w:r>
              <w:t>P</w:t>
            </w:r>
            <w:r w:rsidRPr="00AF7224">
              <w:t>rocess Tracing + Matched Comparison</w:t>
            </w:r>
            <w:r>
              <w:t xml:space="preserve"> (</w:t>
            </w:r>
            <w:r w:rsidRPr="00AF7224">
              <w:t xml:space="preserve">mechanism testing </w:t>
            </w:r>
            <w:r>
              <w:t>plus</w:t>
            </w:r>
            <w:r w:rsidRPr="00AF7224">
              <w:t xml:space="preserve"> quantitative outcome analysis</w:t>
            </w:r>
            <w:r>
              <w:t>)</w:t>
            </w:r>
            <w:r w:rsidRPr="00AF7224">
              <w:t>.</w:t>
            </w:r>
          </w:p>
          <w:p w14:paraId="62B0F453" w14:textId="77777777" w:rsidR="00171B1C" w:rsidRDefault="00171B1C" w:rsidP="00996E63">
            <w:pPr>
              <w:pStyle w:val="Boxsmall"/>
              <w:spacing w:after="40"/>
            </w:pPr>
            <w:r w:rsidRPr="00AF7224">
              <w:t>Theory of Change + Instrumental Variables</w:t>
            </w:r>
            <w:r>
              <w:t xml:space="preserve"> (</w:t>
            </w:r>
            <w:r w:rsidRPr="00AF7224">
              <w:t>to isolate causal impact</w:t>
            </w:r>
            <w:r>
              <w:t>)</w:t>
            </w:r>
            <w:r w:rsidRPr="00AF7224">
              <w:t>.</w:t>
            </w:r>
          </w:p>
        </w:tc>
      </w:tr>
    </w:tbl>
    <w:p w14:paraId="1C77776D" w14:textId="77777777" w:rsidR="00E728AA" w:rsidRPr="00E728AA" w:rsidRDefault="00E728AA" w:rsidP="00171B1C">
      <w:pPr>
        <w:ind w:right="-35"/>
        <w:rPr>
          <w:rFonts w:cs="Arial"/>
          <w:sz w:val="2"/>
          <w:szCs w:val="2"/>
        </w:rPr>
      </w:pPr>
    </w:p>
    <w:p w14:paraId="65B5A81E" w14:textId="34EDA8F4" w:rsidR="00171B1C" w:rsidRPr="008C4F66" w:rsidRDefault="00171B1C" w:rsidP="00171B1C">
      <w:pPr>
        <w:ind w:right="-35"/>
        <w:rPr>
          <w:rFonts w:cs="Arial"/>
          <w:sz w:val="18"/>
          <w:szCs w:val="18"/>
        </w:rPr>
      </w:pPr>
      <w:r w:rsidRPr="008C4F66">
        <w:rPr>
          <w:rFonts w:cs="Arial"/>
          <w:sz w:val="18"/>
          <w:szCs w:val="18"/>
        </w:rPr>
        <w:t xml:space="preserve">* Process evaluation doesn’t estimate causal effects in the statistical sense, but can: </w:t>
      </w:r>
      <w:r w:rsidR="00894E56">
        <w:rPr>
          <w:rFonts w:cs="Arial"/>
          <w:sz w:val="18"/>
          <w:szCs w:val="18"/>
        </w:rPr>
        <w:t>v</w:t>
      </w:r>
      <w:r w:rsidRPr="008C4F66">
        <w:rPr>
          <w:rFonts w:cs="Arial"/>
          <w:sz w:val="18"/>
          <w:szCs w:val="18"/>
        </w:rPr>
        <w:t>alidate causal mechanisms</w:t>
      </w:r>
      <w:r w:rsidR="00894E56">
        <w:rPr>
          <w:rFonts w:cs="Arial"/>
          <w:sz w:val="18"/>
          <w:szCs w:val="18"/>
        </w:rPr>
        <w:t>;</w:t>
      </w:r>
      <w:r w:rsidRPr="008C4F66">
        <w:rPr>
          <w:rFonts w:cs="Arial"/>
          <w:sz w:val="18"/>
          <w:szCs w:val="18"/>
        </w:rPr>
        <w:t xml:space="preserve"> </w:t>
      </w:r>
      <w:r w:rsidR="00894E56">
        <w:rPr>
          <w:rFonts w:cs="Arial"/>
          <w:sz w:val="18"/>
          <w:szCs w:val="18"/>
        </w:rPr>
        <w:t>c</w:t>
      </w:r>
      <w:r w:rsidRPr="008C4F66">
        <w:rPr>
          <w:rFonts w:cs="Arial"/>
          <w:sz w:val="18"/>
          <w:szCs w:val="18"/>
        </w:rPr>
        <w:t>onfirm that the steps in your theory of change actually occurred; explore contextual factors</w:t>
      </w:r>
      <w:r w:rsidR="00894E56">
        <w:rPr>
          <w:rFonts w:cs="Arial"/>
          <w:sz w:val="18"/>
          <w:szCs w:val="18"/>
        </w:rPr>
        <w:t>; u</w:t>
      </w:r>
      <w:r w:rsidRPr="008C4F66">
        <w:rPr>
          <w:rFonts w:cs="Arial"/>
          <w:sz w:val="18"/>
          <w:szCs w:val="18"/>
        </w:rPr>
        <w:t>nderstand why and how the intervention worked (or didn’t) for different student groups; identify unintended consequences</w:t>
      </w:r>
      <w:r w:rsidR="00CE74DD">
        <w:rPr>
          <w:rFonts w:cs="Arial"/>
          <w:sz w:val="18"/>
          <w:szCs w:val="18"/>
        </w:rPr>
        <w:t>; s</w:t>
      </w:r>
      <w:r w:rsidRPr="008C4F66">
        <w:rPr>
          <w:rFonts w:cs="Arial"/>
          <w:sz w:val="18"/>
          <w:szCs w:val="18"/>
        </w:rPr>
        <w:t xml:space="preserve">urface outcomes not captured by quantitative outcome indicators; strengthen causal contribution claims: </w:t>
      </w:r>
    </w:p>
    <w:p w14:paraId="04FF7E57" w14:textId="77777777" w:rsidR="00171B1C" w:rsidRPr="008C4F66" w:rsidRDefault="00171B1C" w:rsidP="00171B1C">
      <w:pPr>
        <w:ind w:right="990"/>
        <w:rPr>
          <w:rFonts w:cs="Arial"/>
          <w:sz w:val="18"/>
          <w:szCs w:val="18"/>
        </w:rPr>
      </w:pPr>
      <w:r w:rsidRPr="008C4F66">
        <w:rPr>
          <w:rFonts w:cs="Arial"/>
          <w:sz w:val="18"/>
          <w:szCs w:val="18"/>
        </w:rPr>
        <w:t>** Type 3 evaluation requires evidence of causal impact, not just association. Theory-based methods can help rule out alternative explanations and reinforce the plausibility of impact when experimentation is unsuitable.</w:t>
      </w:r>
    </w:p>
    <w:p w14:paraId="589E713F" w14:textId="77777777" w:rsidR="00171B1C" w:rsidRPr="008C4F66" w:rsidRDefault="00171B1C" w:rsidP="00171B1C">
      <w:pPr>
        <w:ind w:right="990"/>
        <w:rPr>
          <w:rFonts w:cs="Arial"/>
          <w:sz w:val="18"/>
          <w:szCs w:val="18"/>
        </w:rPr>
      </w:pPr>
      <w:r w:rsidRPr="008C4F66">
        <w:rPr>
          <w:rFonts w:cs="Arial"/>
          <w:sz w:val="18"/>
          <w:szCs w:val="18"/>
        </w:rPr>
        <w:t>*** Qualitative insight uncovers mechanisms, conditions, and context. Quantitative evidence isolates impact and generalizes findings. Together, they produce a narrative that is methodologically rigorous and meaningfully rich.</w:t>
      </w:r>
    </w:p>
    <w:p w14:paraId="3D3F20F7" w14:textId="503B451D" w:rsidR="00A75974" w:rsidRDefault="00A75974" w:rsidP="00A75974">
      <w:pPr>
        <w:spacing w:after="0"/>
        <w:rPr>
          <w:sz w:val="16"/>
          <w:szCs w:val="18"/>
        </w:rPr>
      </w:pPr>
    </w:p>
    <w:sectPr w:rsidR="00A75974" w:rsidSect="00171B1C">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CB23E" w14:textId="77777777" w:rsidR="00332378" w:rsidRDefault="00332378" w:rsidP="003760B4">
      <w:pPr>
        <w:spacing w:after="0" w:line="240" w:lineRule="auto"/>
      </w:pPr>
      <w:r>
        <w:separator/>
      </w:r>
    </w:p>
  </w:endnote>
  <w:endnote w:type="continuationSeparator" w:id="0">
    <w:p w14:paraId="4D494688" w14:textId="77777777" w:rsidR="00332378" w:rsidRDefault="00332378" w:rsidP="003760B4">
      <w:pPr>
        <w:spacing w:after="0" w:line="240" w:lineRule="auto"/>
      </w:pPr>
      <w:r>
        <w:continuationSeparator/>
      </w:r>
    </w:p>
  </w:endnote>
  <w:endnote w:type="continuationNotice" w:id="1">
    <w:p w14:paraId="66AAA159" w14:textId="77777777" w:rsidR="00332378" w:rsidRDefault="003323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halet-LondonNineteenSixty">
    <w:altName w:val="Calibri"/>
    <w:panose1 w:val="020B0604020202020204"/>
    <w:charset w:val="00"/>
    <w:family w:val="modern"/>
    <w:notTrueType/>
    <w:pitch w:val="variable"/>
    <w:sig w:usb0="00000001" w:usb1="5000004A" w:usb2="00000000" w:usb3="00000000" w:csb0="0000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84059" w14:textId="77777777" w:rsidR="00D57D8F" w:rsidRDefault="00D57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1E5BE" w14:textId="45D9D4F3" w:rsidR="00670986" w:rsidRDefault="00670986">
    <w:pPr>
      <w:pStyle w:val="Footer"/>
      <w:jc w:val="center"/>
    </w:pPr>
  </w:p>
  <w:p w14:paraId="6685FAB9" w14:textId="77777777" w:rsidR="003760B4" w:rsidRDefault="003760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2832" w14:textId="77777777" w:rsidR="00D57D8F" w:rsidRDefault="00D57D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803052"/>
      <w:docPartObj>
        <w:docPartGallery w:val="Page Numbers (Bottom of Page)"/>
        <w:docPartUnique/>
      </w:docPartObj>
    </w:sdtPr>
    <w:sdtEndPr>
      <w:rPr>
        <w:noProof/>
      </w:rPr>
    </w:sdtEndPr>
    <w:sdtContent>
      <w:p w14:paraId="59903880" w14:textId="77777777" w:rsidR="00670986" w:rsidRDefault="006709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D479AB" w14:textId="77777777" w:rsidR="00670986" w:rsidRDefault="00670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33AB3" w14:textId="77777777" w:rsidR="00332378" w:rsidRDefault="00332378" w:rsidP="003760B4">
      <w:pPr>
        <w:spacing w:after="0" w:line="240" w:lineRule="auto"/>
      </w:pPr>
      <w:r>
        <w:separator/>
      </w:r>
    </w:p>
  </w:footnote>
  <w:footnote w:type="continuationSeparator" w:id="0">
    <w:p w14:paraId="006543BB" w14:textId="77777777" w:rsidR="00332378" w:rsidRDefault="00332378" w:rsidP="003760B4">
      <w:pPr>
        <w:spacing w:after="0" w:line="240" w:lineRule="auto"/>
      </w:pPr>
      <w:r>
        <w:continuationSeparator/>
      </w:r>
    </w:p>
  </w:footnote>
  <w:footnote w:type="continuationNotice" w:id="1">
    <w:p w14:paraId="10FAB8FB" w14:textId="77777777" w:rsidR="00332378" w:rsidRDefault="00332378">
      <w:pPr>
        <w:spacing w:after="0" w:line="240" w:lineRule="auto"/>
      </w:pPr>
    </w:p>
  </w:footnote>
  <w:footnote w:id="2">
    <w:p w14:paraId="6A84D1F4" w14:textId="77777777" w:rsidR="00363D69" w:rsidRDefault="00363D69" w:rsidP="00363D69">
      <w:pPr>
        <w:pStyle w:val="FootnoteText"/>
      </w:pPr>
      <w:r>
        <w:rPr>
          <w:rStyle w:val="FootnoteReference"/>
        </w:rPr>
        <w:footnoteRef/>
      </w:r>
      <w:r>
        <w:t xml:space="preserve"> </w:t>
      </w:r>
      <w:r w:rsidRPr="001500FE">
        <w:rPr>
          <w:sz w:val="16"/>
          <w:szCs w:val="16"/>
        </w:rPr>
        <w:t>https://www.officeforstudents.org.uk/publications/standards-of-evidence-and-evaluating-impact-of-outreach/</w:t>
      </w:r>
    </w:p>
  </w:footnote>
  <w:footnote w:id="3">
    <w:p w14:paraId="3603202C" w14:textId="77777777" w:rsidR="008B7FF8" w:rsidRPr="002F10E4" w:rsidRDefault="008B7FF8" w:rsidP="008B7FF8">
      <w:pPr>
        <w:pStyle w:val="FootnoteText"/>
        <w:rPr>
          <w:sz w:val="18"/>
          <w:szCs w:val="18"/>
        </w:rPr>
      </w:pPr>
      <w:r>
        <w:rPr>
          <w:rStyle w:val="FootnoteReference"/>
        </w:rPr>
        <w:footnoteRef/>
      </w:r>
      <w:r>
        <w:t xml:space="preserve"> </w:t>
      </w:r>
      <w:r w:rsidRPr="002F10E4">
        <w:rPr>
          <w:sz w:val="16"/>
          <w:szCs w:val="16"/>
        </w:rPr>
        <w:t>Blake, J. (2022, 8 February) Next steps in access and participation. Speech given by John Blake, the Office for Students’ Director for Fair Access and Participation. https://www.officeforstudents.org.uk/news-blog-and-events/press-and-media/next-steps-in-access-and-participation/</w:t>
      </w:r>
    </w:p>
  </w:footnote>
  <w:footnote w:id="4">
    <w:p w14:paraId="30F5FE7E" w14:textId="77777777" w:rsidR="008B7FF8" w:rsidRDefault="008B7FF8" w:rsidP="008B7FF8">
      <w:pPr>
        <w:pStyle w:val="FootnoteText"/>
      </w:pPr>
      <w:r>
        <w:rPr>
          <w:rStyle w:val="FootnoteReference"/>
        </w:rPr>
        <w:footnoteRef/>
      </w:r>
      <w:r>
        <w:t xml:space="preserve"> </w:t>
      </w:r>
      <w:r w:rsidRPr="002F10E4">
        <w:rPr>
          <w:sz w:val="16"/>
          <w:szCs w:val="16"/>
        </w:rPr>
        <w:t>Austen, L., Hodgson, R., Heaton, C., Pickering, N., Dickinson, J., Mitchell, R. and O’Connor, S. (2021) Access, retention, attainment and progression: an integrative review of demonstrable impact on student outcomes. York: Advance HE.  https://www.advance-he.ac.uk/knowledge-hub/access-retention-attainment-and-progression-review-literature-2016-2021</w:t>
      </w:r>
    </w:p>
  </w:footnote>
  <w:footnote w:id="5">
    <w:p w14:paraId="5B8259F5" w14:textId="77777777" w:rsidR="009F2A9B" w:rsidRDefault="009F2A9B" w:rsidP="009F2A9B">
      <w:pPr>
        <w:pStyle w:val="FootnoteText"/>
      </w:pPr>
      <w:r>
        <w:rPr>
          <w:rStyle w:val="FootnoteReference"/>
        </w:rPr>
        <w:footnoteRef/>
      </w:r>
      <w:r>
        <w:t xml:space="preserve"> </w:t>
      </w:r>
      <w:r w:rsidRPr="001500FE">
        <w:rPr>
          <w:sz w:val="16"/>
          <w:szCs w:val="16"/>
        </w:rPr>
        <w:t xml:space="preserve">Some examples include the GLA’s Project Oracle (for youth provision); NESTA’s standards (for innovation funding); and Reclaiming Futures (for justice system reform). </w:t>
      </w:r>
    </w:p>
  </w:footnote>
  <w:footnote w:id="6">
    <w:p w14:paraId="32C1E3D2" w14:textId="77777777" w:rsidR="009F2A9B" w:rsidRDefault="009F2A9B" w:rsidP="009F2A9B">
      <w:pPr>
        <w:pStyle w:val="FootnoteText"/>
      </w:pPr>
      <w:r>
        <w:rPr>
          <w:rStyle w:val="FootnoteReference"/>
        </w:rPr>
        <w:footnoteRef/>
      </w:r>
      <w:r>
        <w:t xml:space="preserve"> </w:t>
      </w:r>
      <w:r w:rsidRPr="001500FE">
        <w:rPr>
          <w:sz w:val="16"/>
          <w:szCs w:val="16"/>
        </w:rPr>
        <w:t>https://pure.northampton.ac.uk/ws/portalfiles/portal/6246443/Crawford_Claire_UoN_2017_The_Evaluation_of_the_Impact_of_Outreach.pdf</w:t>
      </w:r>
    </w:p>
  </w:footnote>
  <w:footnote w:id="7">
    <w:p w14:paraId="534DC4A2" w14:textId="77777777" w:rsidR="009F2A9B" w:rsidRDefault="009F2A9B" w:rsidP="009F2A9B">
      <w:pPr>
        <w:pStyle w:val="FootnoteText"/>
      </w:pPr>
      <w:r>
        <w:rPr>
          <w:rStyle w:val="FootnoteReference"/>
        </w:rPr>
        <w:footnoteRef/>
      </w:r>
      <w:r>
        <w:t xml:space="preserve"> </w:t>
      </w:r>
      <w:r w:rsidRPr="001500FE">
        <w:rPr>
          <w:sz w:val="16"/>
          <w:szCs w:val="16"/>
        </w:rPr>
        <w:t>https://www.officeforstudents.org.uk/publications/standards-of-evidence-and-evaluating-impact-of-outreach/</w:t>
      </w:r>
    </w:p>
  </w:footnote>
  <w:footnote w:id="8">
    <w:p w14:paraId="68D02F8B" w14:textId="77777777" w:rsidR="0038112D" w:rsidRDefault="0038112D" w:rsidP="0038112D">
      <w:pPr>
        <w:pStyle w:val="FootnoteText"/>
      </w:pPr>
      <w:r>
        <w:rPr>
          <w:rStyle w:val="FootnoteReference"/>
        </w:rPr>
        <w:footnoteRef/>
      </w:r>
      <w:r>
        <w:t xml:space="preserve"> </w:t>
      </w:r>
      <w:r w:rsidRPr="00C952DA">
        <w:rPr>
          <w:sz w:val="16"/>
          <w:szCs w:val="16"/>
        </w:rPr>
        <w:t>https://www.officeforstudents.org.uk/for-providers/equality-of-opportunity/evaluation/standards-of-evidence-and-evaluation-self-assessment-tool/</w:t>
      </w:r>
    </w:p>
  </w:footnote>
  <w:footnote w:id="9">
    <w:p w14:paraId="5FFBDAB9" w14:textId="42B0FE2B" w:rsidR="004D4BF2" w:rsidRPr="004D4BF2" w:rsidRDefault="004D4BF2">
      <w:pPr>
        <w:pStyle w:val="FootnoteText"/>
        <w:rPr>
          <w:sz w:val="16"/>
          <w:szCs w:val="16"/>
        </w:rPr>
      </w:pPr>
      <w:r>
        <w:rPr>
          <w:rStyle w:val="FootnoteReference"/>
        </w:rPr>
        <w:footnoteRef/>
      </w:r>
      <w:r>
        <w:t xml:space="preserve"> </w:t>
      </w:r>
      <w:r w:rsidRPr="004D4BF2">
        <w:rPr>
          <w:sz w:val="16"/>
          <w:szCs w:val="16"/>
        </w:rPr>
        <w:t>OfS (2022d) Conditions of registration. https://www.officeforstudents.org.uk/advice-and-guidance/regulation/registration-with-the-ofs-a-guide/conditions-of-registration/</w:t>
      </w:r>
    </w:p>
  </w:footnote>
  <w:footnote w:id="10">
    <w:p w14:paraId="6AC87E7A" w14:textId="77777777" w:rsidR="00C54850" w:rsidRPr="0084025F" w:rsidRDefault="00C54850" w:rsidP="00C54850">
      <w:pPr>
        <w:pStyle w:val="FootnoteText"/>
        <w:rPr>
          <w:sz w:val="16"/>
          <w:szCs w:val="16"/>
        </w:rPr>
      </w:pPr>
      <w:r>
        <w:rPr>
          <w:rStyle w:val="FootnoteReference"/>
        </w:rPr>
        <w:footnoteRef/>
      </w:r>
      <w:r>
        <w:t xml:space="preserve"> </w:t>
      </w:r>
      <w:r w:rsidRPr="0084025F">
        <w:rPr>
          <w:sz w:val="16"/>
          <w:szCs w:val="16"/>
        </w:rPr>
        <w:t>https://taso.org.uk/wp-content/uploads/2022-06-17_Impact-evaluation-with-small-cohorts_methodology-guidance_TASO.pdf</w:t>
      </w:r>
    </w:p>
  </w:footnote>
  <w:footnote w:id="11">
    <w:p w14:paraId="61EE2612" w14:textId="71AE59A4" w:rsidR="004A79E6" w:rsidRPr="0035379B" w:rsidRDefault="004A79E6" w:rsidP="0035379B">
      <w:pPr>
        <w:pStyle w:val="FootnoteText"/>
        <w:rPr>
          <w:sz w:val="16"/>
          <w:szCs w:val="16"/>
        </w:rPr>
      </w:pPr>
      <w:r>
        <w:rPr>
          <w:rStyle w:val="FootnoteReference"/>
        </w:rPr>
        <w:footnoteRef/>
      </w:r>
      <w:r>
        <w:t xml:space="preserve"> </w:t>
      </w:r>
      <w:r w:rsidRPr="0035379B">
        <w:rPr>
          <w:sz w:val="16"/>
          <w:szCs w:val="16"/>
        </w:rPr>
        <w:t>Randomisation doesn’t completely remove biases because of the</w:t>
      </w:r>
      <w:r w:rsidR="005C115E" w:rsidRPr="0035379B">
        <w:rPr>
          <w:sz w:val="16"/>
          <w:szCs w:val="16"/>
        </w:rPr>
        <w:t xml:space="preserve"> potential for </w:t>
      </w:r>
      <w:r w:rsidRPr="0035379B">
        <w:rPr>
          <w:sz w:val="16"/>
          <w:szCs w:val="16"/>
        </w:rPr>
        <w:t>differential dropout</w:t>
      </w:r>
      <w:r w:rsidR="005C115E" w:rsidRPr="0035379B">
        <w:rPr>
          <w:sz w:val="16"/>
          <w:szCs w:val="16"/>
        </w:rPr>
        <w:t xml:space="preserve">, measurement biases </w:t>
      </w:r>
      <w:r w:rsidR="0035379B" w:rsidRPr="0035379B">
        <w:rPr>
          <w:sz w:val="16"/>
          <w:szCs w:val="16"/>
        </w:rPr>
        <w:t>etc. Plus, i</w:t>
      </w:r>
      <w:r w:rsidRPr="0035379B">
        <w:rPr>
          <w:sz w:val="16"/>
          <w:szCs w:val="16"/>
        </w:rPr>
        <w:t>n small groups, randomisation might not actually achieve balance</w:t>
      </w:r>
      <w:r w:rsidR="0035379B" w:rsidRPr="0035379B">
        <w:rPr>
          <w:sz w:val="16"/>
          <w:szCs w:val="16"/>
        </w:rPr>
        <w:t xml:space="preserve"> b</w:t>
      </w:r>
      <w:r w:rsidR="009D7A83">
        <w:rPr>
          <w:sz w:val="16"/>
          <w:szCs w:val="16"/>
        </w:rPr>
        <w:t xml:space="preserve">ecause of the potential for </w:t>
      </w:r>
      <w:r w:rsidRPr="0035379B">
        <w:rPr>
          <w:sz w:val="16"/>
          <w:szCs w:val="16"/>
        </w:rPr>
        <w:t>uneven distribution</w:t>
      </w:r>
      <w:r w:rsidR="0035379B">
        <w:rPr>
          <w:sz w:val="16"/>
          <w:szCs w:val="16"/>
        </w:rPr>
        <w:t xml:space="preserve">. </w:t>
      </w:r>
    </w:p>
  </w:footnote>
  <w:footnote w:id="12">
    <w:p w14:paraId="75F3B97D" w14:textId="7A260269" w:rsidR="00166B32" w:rsidRPr="00DD6C8C" w:rsidRDefault="00166B32" w:rsidP="00166B32">
      <w:pPr>
        <w:pStyle w:val="FootnoteText"/>
        <w:rPr>
          <w:sz w:val="16"/>
          <w:szCs w:val="16"/>
        </w:rPr>
      </w:pPr>
      <w:r>
        <w:rPr>
          <w:rStyle w:val="FootnoteReference"/>
        </w:rPr>
        <w:footnoteRef/>
      </w:r>
      <w:r>
        <w:t xml:space="preserve"> </w:t>
      </w:r>
      <w:r w:rsidRPr="00DD6C8C">
        <w:rPr>
          <w:sz w:val="16"/>
          <w:szCs w:val="16"/>
        </w:rPr>
        <w:t xml:space="preserve">TASO (2023) Efficacy Pilot Evaluation Report: London School of Economics’ Disabled Students Career Appointments, </w:t>
      </w:r>
      <w:r w:rsidR="00FB38DF" w:rsidRPr="00DD6C8C">
        <w:rPr>
          <w:sz w:val="16"/>
          <w:szCs w:val="16"/>
        </w:rPr>
        <w:t>https://taso.org.uk/wp-content/uploads/2023-10_TASO_LSE_Disabled-students-career-appointments-Efficacy_Pilot_Report_2023.pdf</w:t>
      </w:r>
    </w:p>
  </w:footnote>
  <w:footnote w:id="13">
    <w:p w14:paraId="169C7EFB" w14:textId="66395D0D" w:rsidR="00505816" w:rsidRPr="00924DFC" w:rsidRDefault="00505816">
      <w:pPr>
        <w:pStyle w:val="FootnoteText"/>
        <w:rPr>
          <w:sz w:val="16"/>
          <w:szCs w:val="16"/>
        </w:rPr>
      </w:pPr>
      <w:r>
        <w:rPr>
          <w:rStyle w:val="FootnoteReference"/>
        </w:rPr>
        <w:footnoteRef/>
      </w:r>
      <w:r>
        <w:t xml:space="preserve"> </w:t>
      </w:r>
      <w:r w:rsidR="00924DFC" w:rsidRPr="00924DFC">
        <w:rPr>
          <w:sz w:val="16"/>
          <w:szCs w:val="16"/>
        </w:rPr>
        <w:t>Harrison, N and Waller, R (2017) ‘Evaluating outreach activities: overcoming challenges through a realist “small steps” approach’, Perspectives: Policy and Practice in Higher Education, 21:2-3, pp.81-87. DOI: 10.1080/13603108.2016.1256353</w:t>
      </w:r>
      <w:r w:rsidR="00924DFC">
        <w:rPr>
          <w:sz w:val="16"/>
          <w:szCs w:val="16"/>
        </w:rPr>
        <w:t xml:space="preserve">. </w:t>
      </w:r>
    </w:p>
  </w:footnote>
  <w:footnote w:id="14">
    <w:p w14:paraId="59B48938" w14:textId="5A024521" w:rsidR="00AB69BB" w:rsidRDefault="00AB69BB">
      <w:pPr>
        <w:pStyle w:val="FootnoteText"/>
      </w:pPr>
      <w:r>
        <w:rPr>
          <w:rStyle w:val="FootnoteReference"/>
        </w:rPr>
        <w:footnoteRef/>
      </w:r>
      <w:r>
        <w:t xml:space="preserve"> </w:t>
      </w:r>
      <w:r w:rsidR="00F477B6" w:rsidRPr="00F477B6">
        <w:t>https://www.journalslibrary.nihr.ac.uk/hta/HTA25570</w:t>
      </w:r>
    </w:p>
  </w:footnote>
  <w:footnote w:id="15">
    <w:p w14:paraId="15DA74EC" w14:textId="77777777" w:rsidR="00BD7E9E" w:rsidRPr="00DE63F0" w:rsidRDefault="00BD7E9E" w:rsidP="00BD7E9E">
      <w:pPr>
        <w:pStyle w:val="FootnoteText"/>
        <w:rPr>
          <w:sz w:val="16"/>
          <w:szCs w:val="16"/>
        </w:rPr>
      </w:pPr>
      <w:r>
        <w:rPr>
          <w:rStyle w:val="FootnoteReference"/>
        </w:rPr>
        <w:footnoteRef/>
      </w:r>
      <w:r>
        <w:t xml:space="preserve"> </w:t>
      </w:r>
      <w:r w:rsidRPr="00DE63F0">
        <w:rPr>
          <w:sz w:val="16"/>
          <w:szCs w:val="16"/>
        </w:rPr>
        <w:t>Puttick, R. and Ludlow, J. (2012) ‘Standards of Evidence for Impact Investing.’ London: Nesta.</w:t>
      </w:r>
    </w:p>
  </w:footnote>
  <w:footnote w:id="16">
    <w:p w14:paraId="62CB2ACE" w14:textId="77777777" w:rsidR="0054682D" w:rsidRDefault="0054682D">
      <w:pPr>
        <w:pStyle w:val="FootnoteText"/>
      </w:pPr>
      <w:r>
        <w:rPr>
          <w:rStyle w:val="FootnoteReference"/>
        </w:rPr>
        <w:footnoteRef/>
      </w:r>
      <w:r>
        <w:t xml:space="preserve"> </w:t>
      </w:r>
      <w:r w:rsidR="00A0493A">
        <w:rPr>
          <w:sz w:val="16"/>
          <w:szCs w:val="16"/>
        </w:rPr>
        <w:t>The focus of the standards is on setting on the evidence the providers would need to back up their claims to impact. However, i</w:t>
      </w:r>
      <w:r w:rsidRPr="006125EE">
        <w:rPr>
          <w:sz w:val="16"/>
          <w:szCs w:val="16"/>
        </w:rPr>
        <w:t>f an evaluation generate</w:t>
      </w:r>
      <w:r w:rsidR="00A0493A">
        <w:rPr>
          <w:sz w:val="16"/>
          <w:szCs w:val="16"/>
        </w:rPr>
        <w:t>d</w:t>
      </w:r>
      <w:r w:rsidRPr="006125EE">
        <w:rPr>
          <w:sz w:val="16"/>
          <w:szCs w:val="16"/>
        </w:rPr>
        <w:t xml:space="preserve"> evidence of no </w:t>
      </w:r>
      <w:r w:rsidR="006125EE" w:rsidRPr="006125EE">
        <w:rPr>
          <w:sz w:val="16"/>
          <w:szCs w:val="16"/>
        </w:rPr>
        <w:t xml:space="preserve">(or negative) </w:t>
      </w:r>
      <w:r w:rsidRPr="006125EE">
        <w:rPr>
          <w:sz w:val="16"/>
          <w:szCs w:val="16"/>
        </w:rPr>
        <w:t xml:space="preserve">impact </w:t>
      </w:r>
      <w:r w:rsidR="006125EE" w:rsidRPr="006125EE">
        <w:rPr>
          <w:sz w:val="16"/>
          <w:szCs w:val="16"/>
        </w:rPr>
        <w:t>the</w:t>
      </w:r>
      <w:r w:rsidR="00CF7038">
        <w:rPr>
          <w:sz w:val="16"/>
          <w:szCs w:val="16"/>
        </w:rPr>
        <w:t>re will still be important</w:t>
      </w:r>
      <w:r w:rsidR="006125EE" w:rsidRPr="006125EE">
        <w:rPr>
          <w:sz w:val="16"/>
          <w:szCs w:val="16"/>
        </w:rPr>
        <w:t xml:space="preserve"> learning </w:t>
      </w:r>
      <w:r w:rsidR="00CF7038">
        <w:rPr>
          <w:sz w:val="16"/>
          <w:szCs w:val="16"/>
        </w:rPr>
        <w:t xml:space="preserve">about what (doesn’t) work. </w:t>
      </w:r>
    </w:p>
  </w:footnote>
  <w:footnote w:id="17">
    <w:p w14:paraId="516B6D14" w14:textId="77777777" w:rsidR="00171B1C" w:rsidRDefault="00171B1C" w:rsidP="00171B1C">
      <w:pPr>
        <w:pStyle w:val="FootnoteText"/>
      </w:pPr>
      <w:r>
        <w:rPr>
          <w:rStyle w:val="FootnoteReference"/>
        </w:rPr>
        <w:footnoteRef/>
      </w:r>
      <w:r>
        <w:t xml:space="preserve"> </w:t>
      </w:r>
      <w:r w:rsidRPr="00E728AA">
        <w:rPr>
          <w:sz w:val="16"/>
          <w:szCs w:val="16"/>
        </w:rPr>
        <w:t>https://assets.publishing.service.gov.uk/government/uploads/system/uploads/attachment_data/file/879438/HMT_MagentaBook.pdf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3A021" w14:textId="291832DD" w:rsidR="00D57D8F" w:rsidRDefault="00D57D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E685F" w14:textId="20641BFB" w:rsidR="00171B1C" w:rsidRDefault="00171B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259B4" w14:paraId="7EE64FF7" w14:textId="77777777" w:rsidTr="009259B4">
      <w:tc>
        <w:tcPr>
          <w:tcW w:w="4508" w:type="dxa"/>
        </w:tcPr>
        <w:p w14:paraId="1E842518" w14:textId="73CB464A" w:rsidR="009259B4" w:rsidRDefault="009259B4" w:rsidP="009259B4">
          <w:pPr>
            <w:pStyle w:val="Header"/>
          </w:pPr>
          <w:r w:rsidRPr="002D2237">
            <w:rPr>
              <w:rFonts w:ascii="Calibri" w:hAnsi="Calibri"/>
              <w:b/>
              <w:noProof/>
              <w:sz w:val="28"/>
              <w:lang w:eastAsia="en-GB"/>
            </w:rPr>
            <w:drawing>
              <wp:inline distT="0" distB="0" distL="0" distR="0" wp14:anchorId="58548BFA" wp14:editId="589640D6">
                <wp:extent cx="1440000" cy="453380"/>
                <wp:effectExtent l="0" t="0" r="0" b="4445"/>
                <wp:docPr id="1192669013" name="Picture 1192669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0000" cy="453380"/>
                        </a:xfrm>
                        <a:prstGeom prst="rect">
                          <a:avLst/>
                        </a:prstGeom>
                        <a:noFill/>
                        <a:ln>
                          <a:noFill/>
                        </a:ln>
                      </pic:spPr>
                    </pic:pic>
                  </a:graphicData>
                </a:graphic>
              </wp:inline>
            </w:drawing>
          </w:r>
        </w:p>
      </w:tc>
      <w:tc>
        <w:tcPr>
          <w:tcW w:w="4508" w:type="dxa"/>
        </w:tcPr>
        <w:p w14:paraId="4E8FD4DF" w14:textId="3459326F" w:rsidR="009259B4" w:rsidRDefault="009259B4" w:rsidP="009259B4">
          <w:pPr>
            <w:pStyle w:val="Header"/>
            <w:jc w:val="right"/>
          </w:pPr>
          <w:r w:rsidRPr="002D2237">
            <w:rPr>
              <w:rFonts w:asciiTheme="minorHAnsi" w:hAnsiTheme="minorHAnsi" w:cstheme="minorHAnsi"/>
              <w:b/>
              <w:bCs/>
              <w:noProof/>
              <w:sz w:val="28"/>
              <w:szCs w:val="28"/>
            </w:rPr>
            <w:drawing>
              <wp:inline distT="0" distB="0" distL="0" distR="0" wp14:anchorId="5CF0984D" wp14:editId="6F85B43F">
                <wp:extent cx="1103691" cy="453600"/>
                <wp:effectExtent l="0" t="0" r="1270" b="3810"/>
                <wp:docPr id="1610040514" name="Picture 1610040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3691" cy="453600"/>
                        </a:xfrm>
                        <a:prstGeom prst="rect">
                          <a:avLst/>
                        </a:prstGeom>
                        <a:noFill/>
                      </pic:spPr>
                    </pic:pic>
                  </a:graphicData>
                </a:graphic>
              </wp:inline>
            </w:drawing>
          </w:r>
        </w:p>
      </w:tc>
    </w:tr>
  </w:tbl>
  <w:p w14:paraId="5E0FE7C4" w14:textId="2268C9F3" w:rsidR="00DC56D5" w:rsidRDefault="00DC56D5" w:rsidP="009259B4">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CE19" w14:textId="74F70CF6" w:rsidR="00D57D8F" w:rsidRDefault="00D57D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C2011" w14:textId="44B93599" w:rsidR="00D57D8F" w:rsidRDefault="00D57D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805C" w14:textId="3B9241E7" w:rsidR="00D57D8F" w:rsidRDefault="00D57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015A"/>
    <w:multiLevelType w:val="multilevel"/>
    <w:tmpl w:val="08F4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C1A30"/>
    <w:multiLevelType w:val="hybridMultilevel"/>
    <w:tmpl w:val="7278E956"/>
    <w:lvl w:ilvl="0" w:tplc="43684D5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65519B"/>
    <w:multiLevelType w:val="multilevel"/>
    <w:tmpl w:val="A7E8E870"/>
    <w:lvl w:ilvl="0">
      <w:start w:val="3"/>
      <w:numFmt w:val="decimal"/>
      <w:lvlText w:val="%1"/>
      <w:lvlJc w:val="left"/>
      <w:pPr>
        <w:ind w:left="360" w:hanging="360"/>
      </w:pPr>
      <w:rPr>
        <w:rFonts w:hint="default"/>
        <w:b/>
      </w:rPr>
    </w:lvl>
    <w:lvl w:ilvl="1">
      <w:start w:val="1"/>
      <w:numFmt w:val="decimal"/>
      <w:pStyle w:val="ListParagraph"/>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106477D1"/>
    <w:multiLevelType w:val="multilevel"/>
    <w:tmpl w:val="248C8B00"/>
    <w:lvl w:ilvl="0">
      <w:start w:val="1"/>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8C68FF"/>
    <w:multiLevelType w:val="multilevel"/>
    <w:tmpl w:val="EB34AD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18"/>
      </w:rPr>
    </w:lvl>
    <w:lvl w:ilvl="2">
      <w:start w:val="1"/>
      <w:numFmt w:val="decimal"/>
      <w:isLgl/>
      <w:lvlText w:val="%1.%2.%3"/>
      <w:lvlJc w:val="left"/>
      <w:pPr>
        <w:ind w:left="1080" w:hanging="720"/>
      </w:pPr>
      <w:rPr>
        <w:rFonts w:hint="default"/>
        <w:sz w:val="18"/>
      </w:rPr>
    </w:lvl>
    <w:lvl w:ilvl="3">
      <w:start w:val="1"/>
      <w:numFmt w:val="decimal"/>
      <w:isLgl/>
      <w:lvlText w:val="%1.%2.%3.%4"/>
      <w:lvlJc w:val="left"/>
      <w:pPr>
        <w:ind w:left="1080" w:hanging="720"/>
      </w:pPr>
      <w:rPr>
        <w:rFonts w:hint="default"/>
        <w:sz w:val="18"/>
      </w:rPr>
    </w:lvl>
    <w:lvl w:ilvl="4">
      <w:start w:val="1"/>
      <w:numFmt w:val="decimal"/>
      <w:isLgl/>
      <w:lvlText w:val="%1.%2.%3.%4.%5"/>
      <w:lvlJc w:val="left"/>
      <w:pPr>
        <w:ind w:left="1440" w:hanging="1080"/>
      </w:pPr>
      <w:rPr>
        <w:rFonts w:hint="default"/>
        <w:sz w:val="18"/>
      </w:rPr>
    </w:lvl>
    <w:lvl w:ilvl="5">
      <w:start w:val="1"/>
      <w:numFmt w:val="decimal"/>
      <w:isLgl/>
      <w:lvlText w:val="%1.%2.%3.%4.%5.%6"/>
      <w:lvlJc w:val="left"/>
      <w:pPr>
        <w:ind w:left="1440" w:hanging="1080"/>
      </w:pPr>
      <w:rPr>
        <w:rFonts w:hint="default"/>
        <w:sz w:val="18"/>
      </w:rPr>
    </w:lvl>
    <w:lvl w:ilvl="6">
      <w:start w:val="1"/>
      <w:numFmt w:val="decimal"/>
      <w:isLgl/>
      <w:lvlText w:val="%1.%2.%3.%4.%5.%6.%7"/>
      <w:lvlJc w:val="left"/>
      <w:pPr>
        <w:ind w:left="1800" w:hanging="1440"/>
      </w:pPr>
      <w:rPr>
        <w:rFonts w:hint="default"/>
        <w:sz w:val="18"/>
      </w:rPr>
    </w:lvl>
    <w:lvl w:ilvl="7">
      <w:start w:val="1"/>
      <w:numFmt w:val="decimal"/>
      <w:isLgl/>
      <w:lvlText w:val="%1.%2.%3.%4.%5.%6.%7.%8"/>
      <w:lvlJc w:val="left"/>
      <w:pPr>
        <w:ind w:left="1800" w:hanging="1440"/>
      </w:pPr>
      <w:rPr>
        <w:rFonts w:hint="default"/>
        <w:sz w:val="18"/>
      </w:rPr>
    </w:lvl>
    <w:lvl w:ilvl="8">
      <w:start w:val="1"/>
      <w:numFmt w:val="decimal"/>
      <w:isLgl/>
      <w:lvlText w:val="%1.%2.%3.%4.%5.%6.%7.%8.%9"/>
      <w:lvlJc w:val="left"/>
      <w:pPr>
        <w:ind w:left="2160" w:hanging="1800"/>
      </w:pPr>
      <w:rPr>
        <w:rFonts w:hint="default"/>
        <w:sz w:val="18"/>
      </w:rPr>
    </w:lvl>
  </w:abstractNum>
  <w:abstractNum w:abstractNumId="5" w15:restartNumberingAfterBreak="0">
    <w:nsid w:val="1302577E"/>
    <w:multiLevelType w:val="multilevel"/>
    <w:tmpl w:val="7B88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E5796F"/>
    <w:multiLevelType w:val="multilevel"/>
    <w:tmpl w:val="F6BC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0312D8"/>
    <w:multiLevelType w:val="multilevel"/>
    <w:tmpl w:val="2A3225F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6461DB3"/>
    <w:multiLevelType w:val="multilevel"/>
    <w:tmpl w:val="3CF0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D40238"/>
    <w:multiLevelType w:val="multilevel"/>
    <w:tmpl w:val="8B608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7A6FF0"/>
    <w:multiLevelType w:val="hybridMultilevel"/>
    <w:tmpl w:val="31285C7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D16725"/>
    <w:multiLevelType w:val="multilevel"/>
    <w:tmpl w:val="8560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DA03FC"/>
    <w:multiLevelType w:val="multilevel"/>
    <w:tmpl w:val="0976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11825"/>
    <w:multiLevelType w:val="hybridMultilevel"/>
    <w:tmpl w:val="CE10CBF6"/>
    <w:lvl w:ilvl="0" w:tplc="08090001">
      <w:start w:val="1"/>
      <w:numFmt w:val="bullet"/>
      <w:lvlText w:val=""/>
      <w:lvlJc w:val="left"/>
      <w:pPr>
        <w:ind w:left="362" w:hanging="360"/>
      </w:pPr>
      <w:rPr>
        <w:rFonts w:ascii="Symbol" w:hAnsi="Symbol" w:hint="default"/>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abstractNum w:abstractNumId="14" w15:restartNumberingAfterBreak="0">
    <w:nsid w:val="3E6A30A6"/>
    <w:multiLevelType w:val="hybridMultilevel"/>
    <w:tmpl w:val="3744A6FC"/>
    <w:lvl w:ilvl="0" w:tplc="EC44B20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3D4260"/>
    <w:multiLevelType w:val="hybridMultilevel"/>
    <w:tmpl w:val="5BE86AE4"/>
    <w:lvl w:ilvl="0" w:tplc="D27C61E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EA6517"/>
    <w:multiLevelType w:val="multilevel"/>
    <w:tmpl w:val="EB42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915020"/>
    <w:multiLevelType w:val="multilevel"/>
    <w:tmpl w:val="56A8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A86F47"/>
    <w:multiLevelType w:val="hybridMultilevel"/>
    <w:tmpl w:val="6B287D7C"/>
    <w:lvl w:ilvl="0" w:tplc="EC44B20C">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AAA29DB"/>
    <w:multiLevelType w:val="multilevel"/>
    <w:tmpl w:val="DA301B8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50510C31"/>
    <w:multiLevelType w:val="hybridMultilevel"/>
    <w:tmpl w:val="F168CA68"/>
    <w:lvl w:ilvl="0" w:tplc="EC44B20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6E3F59"/>
    <w:multiLevelType w:val="hybridMultilevel"/>
    <w:tmpl w:val="F8EAD0F2"/>
    <w:lvl w:ilvl="0" w:tplc="32425752">
      <w:start w:val="1"/>
      <w:numFmt w:val="bullet"/>
      <w:pStyle w:val="Bullet"/>
      <w:lvlText w:val=""/>
      <w:lvlJc w:val="left"/>
      <w:pPr>
        <w:ind w:left="362" w:hanging="360"/>
      </w:pPr>
      <w:rPr>
        <w:rFonts w:ascii="Symbol" w:hAnsi="Symbol" w:hint="default"/>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abstractNum w:abstractNumId="22" w15:restartNumberingAfterBreak="0">
    <w:nsid w:val="50DA732E"/>
    <w:multiLevelType w:val="multilevel"/>
    <w:tmpl w:val="1E027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B36A12"/>
    <w:multiLevelType w:val="multilevel"/>
    <w:tmpl w:val="FA08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E55B33"/>
    <w:multiLevelType w:val="multilevel"/>
    <w:tmpl w:val="E0D2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0147BE"/>
    <w:multiLevelType w:val="hybridMultilevel"/>
    <w:tmpl w:val="3D7AC7FC"/>
    <w:lvl w:ilvl="0" w:tplc="60EC91C8">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950281F"/>
    <w:multiLevelType w:val="multilevel"/>
    <w:tmpl w:val="D7D8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5058B5"/>
    <w:multiLevelType w:val="hybridMultilevel"/>
    <w:tmpl w:val="B84EF9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113BDF"/>
    <w:multiLevelType w:val="hybridMultilevel"/>
    <w:tmpl w:val="E878C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19078D"/>
    <w:multiLevelType w:val="multilevel"/>
    <w:tmpl w:val="837A49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CD51351"/>
    <w:multiLevelType w:val="multilevel"/>
    <w:tmpl w:val="96B4DD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BD6AE2"/>
    <w:multiLevelType w:val="multilevel"/>
    <w:tmpl w:val="10A60B66"/>
    <w:lvl w:ilvl="0">
      <w:start w:val="1"/>
      <w:numFmt w:val="bullet"/>
      <w:pStyle w:val="ListBullet"/>
      <w:lvlText w:val="+"/>
      <w:lvlJc w:val="left"/>
      <w:pPr>
        <w:tabs>
          <w:tab w:val="num" w:pos="340"/>
        </w:tabs>
        <w:ind w:left="340" w:hanging="340"/>
      </w:pPr>
      <w:rPr>
        <w:rFonts w:ascii="Chalet-LondonNineteenSixty" w:hAnsi="Chalet-LondonNineteenSixty" w:hint="default"/>
        <w:color w:val="E8E8E8" w:themeColor="background2"/>
        <w:sz w:val="32"/>
      </w:rPr>
    </w:lvl>
    <w:lvl w:ilvl="1">
      <w:start w:val="1"/>
      <w:numFmt w:val="bullet"/>
      <w:lvlText w:val="–"/>
      <w:lvlJc w:val="left"/>
      <w:pPr>
        <w:tabs>
          <w:tab w:val="num" w:pos="680"/>
        </w:tabs>
        <w:ind w:left="680" w:hanging="340"/>
      </w:pPr>
      <w:rPr>
        <w:rFonts w:ascii="Chalet-LondonNineteenSixty" w:hAnsi="Chalet-LondonNineteenSixty" w:hint="default"/>
        <w:color w:val="000000" w:themeColor="text1"/>
      </w:rPr>
    </w:lvl>
    <w:lvl w:ilvl="2">
      <w:start w:val="1"/>
      <w:numFmt w:val="bullet"/>
      <w:lvlText w:val="+"/>
      <w:lvlJc w:val="left"/>
      <w:pPr>
        <w:tabs>
          <w:tab w:val="num" w:pos="1021"/>
        </w:tabs>
        <w:ind w:left="1021" w:hanging="341"/>
      </w:pPr>
      <w:rPr>
        <w:rFonts w:ascii="Chalet-LondonNineteenSixty" w:hAnsi="Chalet-LondonNineteenSixty" w:hint="default"/>
        <w:color w:val="E8E8E8" w:themeColor="background2"/>
        <w:sz w:val="32"/>
      </w:rPr>
    </w:lvl>
    <w:lvl w:ilvl="3">
      <w:start w:val="1"/>
      <w:numFmt w:val="bullet"/>
      <w:lvlText w:val="–"/>
      <w:lvlJc w:val="left"/>
      <w:pPr>
        <w:tabs>
          <w:tab w:val="num" w:pos="1360"/>
        </w:tabs>
        <w:ind w:left="1360" w:hanging="340"/>
      </w:pPr>
      <w:rPr>
        <w:rFonts w:ascii="Chalet-LondonNineteenSixty" w:hAnsi="Chalet-LondonNineteenSixty" w:hint="default"/>
        <w:color w:val="000000" w:themeColor="text1"/>
      </w:rPr>
    </w:lvl>
    <w:lvl w:ilvl="4">
      <w:start w:val="1"/>
      <w:numFmt w:val="bullet"/>
      <w:lvlText w:val="+"/>
      <w:lvlJc w:val="left"/>
      <w:pPr>
        <w:tabs>
          <w:tab w:val="num" w:pos="1700"/>
        </w:tabs>
        <w:ind w:left="1700" w:hanging="340"/>
      </w:pPr>
      <w:rPr>
        <w:rFonts w:ascii="Chalet-LondonNineteenSixty" w:hAnsi="Chalet-LondonNineteenSixty" w:hint="default"/>
        <w:color w:val="E8E8E8" w:themeColor="background2"/>
        <w:sz w:val="32"/>
      </w:rPr>
    </w:lvl>
    <w:lvl w:ilvl="5">
      <w:start w:val="1"/>
      <w:numFmt w:val="none"/>
      <w:lvlText w:val=""/>
      <w:lvlJc w:val="left"/>
      <w:pPr>
        <w:tabs>
          <w:tab w:val="num" w:pos="2040"/>
        </w:tabs>
        <w:ind w:left="2040" w:hanging="340"/>
      </w:pPr>
      <w:rPr>
        <w:rFonts w:hint="default"/>
      </w:rPr>
    </w:lvl>
    <w:lvl w:ilvl="6">
      <w:start w:val="1"/>
      <w:numFmt w:val="none"/>
      <w:lvlText w:val=""/>
      <w:lvlJc w:val="left"/>
      <w:pPr>
        <w:tabs>
          <w:tab w:val="num" w:pos="2380"/>
        </w:tabs>
        <w:ind w:left="2380" w:hanging="340"/>
      </w:pPr>
      <w:rPr>
        <w:rFonts w:hint="default"/>
      </w:rPr>
    </w:lvl>
    <w:lvl w:ilvl="7">
      <w:start w:val="1"/>
      <w:numFmt w:val="none"/>
      <w:lvlText w:val=""/>
      <w:lvlJc w:val="left"/>
      <w:pPr>
        <w:tabs>
          <w:tab w:val="num" w:pos="2720"/>
        </w:tabs>
        <w:ind w:left="2720" w:hanging="340"/>
      </w:pPr>
      <w:rPr>
        <w:rFonts w:hint="default"/>
      </w:rPr>
    </w:lvl>
    <w:lvl w:ilvl="8">
      <w:start w:val="1"/>
      <w:numFmt w:val="none"/>
      <w:lvlText w:val=""/>
      <w:lvlJc w:val="left"/>
      <w:pPr>
        <w:tabs>
          <w:tab w:val="num" w:pos="3060"/>
        </w:tabs>
        <w:ind w:left="3060" w:hanging="340"/>
      </w:pPr>
      <w:rPr>
        <w:rFonts w:hint="default"/>
      </w:rPr>
    </w:lvl>
  </w:abstractNum>
  <w:abstractNum w:abstractNumId="32" w15:restartNumberingAfterBreak="0">
    <w:nsid w:val="62AD4339"/>
    <w:multiLevelType w:val="hybridMultilevel"/>
    <w:tmpl w:val="BA328D8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504518"/>
    <w:multiLevelType w:val="multilevel"/>
    <w:tmpl w:val="FDEE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E06100"/>
    <w:multiLevelType w:val="multilevel"/>
    <w:tmpl w:val="D9F2A3E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6B6C631E"/>
    <w:multiLevelType w:val="multilevel"/>
    <w:tmpl w:val="92BA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D7135F"/>
    <w:multiLevelType w:val="multilevel"/>
    <w:tmpl w:val="84841DE6"/>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23767B2"/>
    <w:multiLevelType w:val="multilevel"/>
    <w:tmpl w:val="AEB83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F1178C"/>
    <w:multiLevelType w:val="multilevel"/>
    <w:tmpl w:val="0F6E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0E5D4E"/>
    <w:multiLevelType w:val="multilevel"/>
    <w:tmpl w:val="9844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225DE9"/>
    <w:multiLevelType w:val="multilevel"/>
    <w:tmpl w:val="DC7CF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1482945">
    <w:abstractNumId w:val="31"/>
  </w:num>
  <w:num w:numId="2" w16cid:durableId="1094396646">
    <w:abstractNumId w:val="34"/>
  </w:num>
  <w:num w:numId="3" w16cid:durableId="1353648030">
    <w:abstractNumId w:val="27"/>
  </w:num>
  <w:num w:numId="4" w16cid:durableId="489830702">
    <w:abstractNumId w:val="15"/>
  </w:num>
  <w:num w:numId="5" w16cid:durableId="2042590685">
    <w:abstractNumId w:val="30"/>
  </w:num>
  <w:num w:numId="6" w16cid:durableId="1307391301">
    <w:abstractNumId w:val="32"/>
  </w:num>
  <w:num w:numId="7" w16cid:durableId="1507289034">
    <w:abstractNumId w:val="28"/>
  </w:num>
  <w:num w:numId="8" w16cid:durableId="206843482">
    <w:abstractNumId w:val="36"/>
  </w:num>
  <w:num w:numId="9" w16cid:durableId="1181120845">
    <w:abstractNumId w:val="4"/>
  </w:num>
  <w:num w:numId="10" w16cid:durableId="1009060268">
    <w:abstractNumId w:val="18"/>
  </w:num>
  <w:num w:numId="11" w16cid:durableId="1212351452">
    <w:abstractNumId w:val="20"/>
  </w:num>
  <w:num w:numId="12" w16cid:durableId="1908104513">
    <w:abstractNumId w:val="14"/>
  </w:num>
  <w:num w:numId="13" w16cid:durableId="2145344064">
    <w:abstractNumId w:val="10"/>
  </w:num>
  <w:num w:numId="14" w16cid:durableId="1600066930">
    <w:abstractNumId w:val="29"/>
  </w:num>
  <w:num w:numId="15" w16cid:durableId="1696076376">
    <w:abstractNumId w:val="6"/>
  </w:num>
  <w:num w:numId="16" w16cid:durableId="2026900407">
    <w:abstractNumId w:val="33"/>
  </w:num>
  <w:num w:numId="17" w16cid:durableId="316540756">
    <w:abstractNumId w:val="8"/>
  </w:num>
  <w:num w:numId="18" w16cid:durableId="1282806618">
    <w:abstractNumId w:val="5"/>
  </w:num>
  <w:num w:numId="19" w16cid:durableId="1935934802">
    <w:abstractNumId w:val="9"/>
  </w:num>
  <w:num w:numId="20" w16cid:durableId="889657986">
    <w:abstractNumId w:val="17"/>
  </w:num>
  <w:num w:numId="21" w16cid:durableId="809051832">
    <w:abstractNumId w:val="23"/>
  </w:num>
  <w:num w:numId="22" w16cid:durableId="22362237">
    <w:abstractNumId w:val="12"/>
  </w:num>
  <w:num w:numId="23" w16cid:durableId="207226759">
    <w:abstractNumId w:val="16"/>
  </w:num>
  <w:num w:numId="24" w16cid:durableId="1842350004">
    <w:abstractNumId w:val="38"/>
  </w:num>
  <w:num w:numId="25" w16cid:durableId="1284996533">
    <w:abstractNumId w:val="24"/>
  </w:num>
  <w:num w:numId="26" w16cid:durableId="837353746">
    <w:abstractNumId w:val="22"/>
  </w:num>
  <w:num w:numId="27" w16cid:durableId="235240912">
    <w:abstractNumId w:val="0"/>
  </w:num>
  <w:num w:numId="28" w16cid:durableId="1060981170">
    <w:abstractNumId w:val="35"/>
  </w:num>
  <w:num w:numId="29" w16cid:durableId="438378321">
    <w:abstractNumId w:val="11"/>
  </w:num>
  <w:num w:numId="30" w16cid:durableId="72241360">
    <w:abstractNumId w:val="39"/>
  </w:num>
  <w:num w:numId="31" w16cid:durableId="299460417">
    <w:abstractNumId w:val="37"/>
  </w:num>
  <w:num w:numId="32" w16cid:durableId="970675231">
    <w:abstractNumId w:val="40"/>
  </w:num>
  <w:num w:numId="33" w16cid:durableId="1872918012">
    <w:abstractNumId w:val="26"/>
  </w:num>
  <w:num w:numId="34" w16cid:durableId="669672882">
    <w:abstractNumId w:val="34"/>
  </w:num>
  <w:num w:numId="35" w16cid:durableId="1024400787">
    <w:abstractNumId w:val="34"/>
  </w:num>
  <w:num w:numId="36" w16cid:durableId="220292493">
    <w:abstractNumId w:val="3"/>
  </w:num>
  <w:num w:numId="37" w16cid:durableId="1075854500">
    <w:abstractNumId w:val="19"/>
  </w:num>
  <w:num w:numId="38" w16cid:durableId="302930529">
    <w:abstractNumId w:val="7"/>
  </w:num>
  <w:num w:numId="39" w16cid:durableId="1939369377">
    <w:abstractNumId w:val="2"/>
  </w:num>
  <w:num w:numId="40" w16cid:durableId="95488180">
    <w:abstractNumId w:val="34"/>
  </w:num>
  <w:num w:numId="41" w16cid:durableId="275672828">
    <w:abstractNumId w:val="34"/>
  </w:num>
  <w:num w:numId="42" w16cid:durableId="1808621275">
    <w:abstractNumId w:val="34"/>
  </w:num>
  <w:num w:numId="43" w16cid:durableId="1828281050">
    <w:abstractNumId w:val="34"/>
  </w:num>
  <w:num w:numId="44" w16cid:durableId="929199752">
    <w:abstractNumId w:val="1"/>
  </w:num>
  <w:num w:numId="45" w16cid:durableId="979072115">
    <w:abstractNumId w:val="25"/>
  </w:num>
  <w:num w:numId="46" w16cid:durableId="679233671">
    <w:abstractNumId w:val="13"/>
  </w:num>
  <w:num w:numId="47" w16cid:durableId="550116572">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82"/>
    <w:rsid w:val="000005E2"/>
    <w:rsid w:val="00000723"/>
    <w:rsid w:val="0000094A"/>
    <w:rsid w:val="000011C5"/>
    <w:rsid w:val="000015A5"/>
    <w:rsid w:val="0000205B"/>
    <w:rsid w:val="000025BC"/>
    <w:rsid w:val="00002798"/>
    <w:rsid w:val="00003140"/>
    <w:rsid w:val="000037A7"/>
    <w:rsid w:val="00003ABE"/>
    <w:rsid w:val="00003BA1"/>
    <w:rsid w:val="000042B2"/>
    <w:rsid w:val="000046FA"/>
    <w:rsid w:val="00004990"/>
    <w:rsid w:val="00004D70"/>
    <w:rsid w:val="0000531E"/>
    <w:rsid w:val="0000582C"/>
    <w:rsid w:val="0000613E"/>
    <w:rsid w:val="000065D6"/>
    <w:rsid w:val="0000738C"/>
    <w:rsid w:val="00007396"/>
    <w:rsid w:val="00007623"/>
    <w:rsid w:val="000078A3"/>
    <w:rsid w:val="00007B0A"/>
    <w:rsid w:val="00010081"/>
    <w:rsid w:val="000102C4"/>
    <w:rsid w:val="00010E0B"/>
    <w:rsid w:val="000111EF"/>
    <w:rsid w:val="000111F0"/>
    <w:rsid w:val="00011B61"/>
    <w:rsid w:val="0001240A"/>
    <w:rsid w:val="00012411"/>
    <w:rsid w:val="00012A46"/>
    <w:rsid w:val="0001310D"/>
    <w:rsid w:val="00013262"/>
    <w:rsid w:val="00013BDF"/>
    <w:rsid w:val="000141D9"/>
    <w:rsid w:val="000144C9"/>
    <w:rsid w:val="00014578"/>
    <w:rsid w:val="000152C0"/>
    <w:rsid w:val="00016129"/>
    <w:rsid w:val="00016132"/>
    <w:rsid w:val="0001649C"/>
    <w:rsid w:val="00016FC1"/>
    <w:rsid w:val="000174C1"/>
    <w:rsid w:val="0001769B"/>
    <w:rsid w:val="00017821"/>
    <w:rsid w:val="000206F6"/>
    <w:rsid w:val="00020F8C"/>
    <w:rsid w:val="000210B0"/>
    <w:rsid w:val="00021DB9"/>
    <w:rsid w:val="000240D1"/>
    <w:rsid w:val="00024694"/>
    <w:rsid w:val="00024795"/>
    <w:rsid w:val="00024E94"/>
    <w:rsid w:val="00025762"/>
    <w:rsid w:val="00025D2C"/>
    <w:rsid w:val="00026132"/>
    <w:rsid w:val="000262CA"/>
    <w:rsid w:val="00026EC1"/>
    <w:rsid w:val="00026F2D"/>
    <w:rsid w:val="000275EA"/>
    <w:rsid w:val="00027B00"/>
    <w:rsid w:val="00027C4F"/>
    <w:rsid w:val="00027C7B"/>
    <w:rsid w:val="0003017B"/>
    <w:rsid w:val="00030B33"/>
    <w:rsid w:val="00030D1D"/>
    <w:rsid w:val="000313C4"/>
    <w:rsid w:val="00031870"/>
    <w:rsid w:val="00032112"/>
    <w:rsid w:val="00032467"/>
    <w:rsid w:val="0003281F"/>
    <w:rsid w:val="00032C5C"/>
    <w:rsid w:val="00032E72"/>
    <w:rsid w:val="00032FDE"/>
    <w:rsid w:val="0003379B"/>
    <w:rsid w:val="00033B57"/>
    <w:rsid w:val="00034774"/>
    <w:rsid w:val="00034AEB"/>
    <w:rsid w:val="00034E83"/>
    <w:rsid w:val="00035415"/>
    <w:rsid w:val="000354F5"/>
    <w:rsid w:val="00035574"/>
    <w:rsid w:val="0003588F"/>
    <w:rsid w:val="00035969"/>
    <w:rsid w:val="00035B22"/>
    <w:rsid w:val="00035DDC"/>
    <w:rsid w:val="000363D0"/>
    <w:rsid w:val="00036788"/>
    <w:rsid w:val="00036B55"/>
    <w:rsid w:val="00036B68"/>
    <w:rsid w:val="00036C81"/>
    <w:rsid w:val="00036D42"/>
    <w:rsid w:val="00036F67"/>
    <w:rsid w:val="000372D6"/>
    <w:rsid w:val="00037A4D"/>
    <w:rsid w:val="00037A51"/>
    <w:rsid w:val="00037E2E"/>
    <w:rsid w:val="00037E63"/>
    <w:rsid w:val="0004006D"/>
    <w:rsid w:val="00040146"/>
    <w:rsid w:val="000402BA"/>
    <w:rsid w:val="0004042B"/>
    <w:rsid w:val="00040876"/>
    <w:rsid w:val="00040E13"/>
    <w:rsid w:val="00040E3D"/>
    <w:rsid w:val="000411D1"/>
    <w:rsid w:val="00041704"/>
    <w:rsid w:val="00041A83"/>
    <w:rsid w:val="00041BBF"/>
    <w:rsid w:val="0004234D"/>
    <w:rsid w:val="00042BCA"/>
    <w:rsid w:val="00042E52"/>
    <w:rsid w:val="00043398"/>
    <w:rsid w:val="000436AF"/>
    <w:rsid w:val="00043865"/>
    <w:rsid w:val="00043902"/>
    <w:rsid w:val="00043F76"/>
    <w:rsid w:val="00043FE7"/>
    <w:rsid w:val="00044764"/>
    <w:rsid w:val="00044CB4"/>
    <w:rsid w:val="00044F35"/>
    <w:rsid w:val="00045B19"/>
    <w:rsid w:val="00045C0A"/>
    <w:rsid w:val="00045CC9"/>
    <w:rsid w:val="00045E69"/>
    <w:rsid w:val="000470FC"/>
    <w:rsid w:val="000473C9"/>
    <w:rsid w:val="000476FC"/>
    <w:rsid w:val="000477E7"/>
    <w:rsid w:val="00047FCA"/>
    <w:rsid w:val="00050140"/>
    <w:rsid w:val="00050A45"/>
    <w:rsid w:val="000511EF"/>
    <w:rsid w:val="00051421"/>
    <w:rsid w:val="00051469"/>
    <w:rsid w:val="00051E96"/>
    <w:rsid w:val="00051F0B"/>
    <w:rsid w:val="00052170"/>
    <w:rsid w:val="0005234A"/>
    <w:rsid w:val="0005240C"/>
    <w:rsid w:val="00052637"/>
    <w:rsid w:val="00052B3D"/>
    <w:rsid w:val="00053309"/>
    <w:rsid w:val="0005333F"/>
    <w:rsid w:val="0005373B"/>
    <w:rsid w:val="00053929"/>
    <w:rsid w:val="00053B62"/>
    <w:rsid w:val="00053C7C"/>
    <w:rsid w:val="0005460D"/>
    <w:rsid w:val="000548D4"/>
    <w:rsid w:val="00054CD4"/>
    <w:rsid w:val="00054F29"/>
    <w:rsid w:val="00055255"/>
    <w:rsid w:val="0005542F"/>
    <w:rsid w:val="000554E6"/>
    <w:rsid w:val="0005559C"/>
    <w:rsid w:val="0005593D"/>
    <w:rsid w:val="00055A94"/>
    <w:rsid w:val="00055ED2"/>
    <w:rsid w:val="000562C6"/>
    <w:rsid w:val="00056D43"/>
    <w:rsid w:val="00056D65"/>
    <w:rsid w:val="00057196"/>
    <w:rsid w:val="000572CE"/>
    <w:rsid w:val="00057606"/>
    <w:rsid w:val="00057BCE"/>
    <w:rsid w:val="00057C9F"/>
    <w:rsid w:val="00057F08"/>
    <w:rsid w:val="000602DE"/>
    <w:rsid w:val="000603A4"/>
    <w:rsid w:val="0006094D"/>
    <w:rsid w:val="00060D5C"/>
    <w:rsid w:val="00061256"/>
    <w:rsid w:val="0006158A"/>
    <w:rsid w:val="00061BF8"/>
    <w:rsid w:val="00061E58"/>
    <w:rsid w:val="00063695"/>
    <w:rsid w:val="000639BA"/>
    <w:rsid w:val="00063EEA"/>
    <w:rsid w:val="00064B05"/>
    <w:rsid w:val="00065714"/>
    <w:rsid w:val="00066896"/>
    <w:rsid w:val="00066F0F"/>
    <w:rsid w:val="000676EC"/>
    <w:rsid w:val="00067AD0"/>
    <w:rsid w:val="00067F84"/>
    <w:rsid w:val="00067FE7"/>
    <w:rsid w:val="000709DE"/>
    <w:rsid w:val="00070A50"/>
    <w:rsid w:val="000710B5"/>
    <w:rsid w:val="00071238"/>
    <w:rsid w:val="00071A2E"/>
    <w:rsid w:val="000720B7"/>
    <w:rsid w:val="00072546"/>
    <w:rsid w:val="000726FC"/>
    <w:rsid w:val="00072893"/>
    <w:rsid w:val="00073100"/>
    <w:rsid w:val="000746F7"/>
    <w:rsid w:val="00074805"/>
    <w:rsid w:val="00074D26"/>
    <w:rsid w:val="000758DE"/>
    <w:rsid w:val="00075A77"/>
    <w:rsid w:val="000769EB"/>
    <w:rsid w:val="00076D8D"/>
    <w:rsid w:val="00076E3B"/>
    <w:rsid w:val="00077374"/>
    <w:rsid w:val="00077D24"/>
    <w:rsid w:val="00080218"/>
    <w:rsid w:val="00080611"/>
    <w:rsid w:val="000816D8"/>
    <w:rsid w:val="000817E1"/>
    <w:rsid w:val="00081C05"/>
    <w:rsid w:val="00082018"/>
    <w:rsid w:val="0008267C"/>
    <w:rsid w:val="00082C90"/>
    <w:rsid w:val="0008329C"/>
    <w:rsid w:val="000833C3"/>
    <w:rsid w:val="000834EC"/>
    <w:rsid w:val="0008364C"/>
    <w:rsid w:val="00083D51"/>
    <w:rsid w:val="0008419B"/>
    <w:rsid w:val="000841A0"/>
    <w:rsid w:val="00084E03"/>
    <w:rsid w:val="00084F7D"/>
    <w:rsid w:val="000850E8"/>
    <w:rsid w:val="00085408"/>
    <w:rsid w:val="00085799"/>
    <w:rsid w:val="0008669B"/>
    <w:rsid w:val="000869F2"/>
    <w:rsid w:val="00087AAE"/>
    <w:rsid w:val="00087F1B"/>
    <w:rsid w:val="00090289"/>
    <w:rsid w:val="00090319"/>
    <w:rsid w:val="0009071A"/>
    <w:rsid w:val="0009079E"/>
    <w:rsid w:val="00090D6B"/>
    <w:rsid w:val="000910A4"/>
    <w:rsid w:val="000912DA"/>
    <w:rsid w:val="000916A6"/>
    <w:rsid w:val="000919A0"/>
    <w:rsid w:val="00091A3D"/>
    <w:rsid w:val="00091DBA"/>
    <w:rsid w:val="00091F70"/>
    <w:rsid w:val="00091F92"/>
    <w:rsid w:val="00092218"/>
    <w:rsid w:val="000925BE"/>
    <w:rsid w:val="00092771"/>
    <w:rsid w:val="000938D4"/>
    <w:rsid w:val="000942E4"/>
    <w:rsid w:val="00094803"/>
    <w:rsid w:val="00094FF9"/>
    <w:rsid w:val="00095396"/>
    <w:rsid w:val="00095EE2"/>
    <w:rsid w:val="00096C86"/>
    <w:rsid w:val="00096CDA"/>
    <w:rsid w:val="00096DBB"/>
    <w:rsid w:val="000971A8"/>
    <w:rsid w:val="000976B6"/>
    <w:rsid w:val="000A02F9"/>
    <w:rsid w:val="000A04E6"/>
    <w:rsid w:val="000A0857"/>
    <w:rsid w:val="000A087E"/>
    <w:rsid w:val="000A0D28"/>
    <w:rsid w:val="000A0DE7"/>
    <w:rsid w:val="000A1321"/>
    <w:rsid w:val="000A1B7E"/>
    <w:rsid w:val="000A1BB3"/>
    <w:rsid w:val="000A1E33"/>
    <w:rsid w:val="000A2403"/>
    <w:rsid w:val="000A2827"/>
    <w:rsid w:val="000A285F"/>
    <w:rsid w:val="000A28A8"/>
    <w:rsid w:val="000A2B87"/>
    <w:rsid w:val="000A3F09"/>
    <w:rsid w:val="000A48CB"/>
    <w:rsid w:val="000A55B1"/>
    <w:rsid w:val="000A5825"/>
    <w:rsid w:val="000A58F1"/>
    <w:rsid w:val="000A5BB7"/>
    <w:rsid w:val="000A5E5C"/>
    <w:rsid w:val="000A6556"/>
    <w:rsid w:val="000A694B"/>
    <w:rsid w:val="000A69C9"/>
    <w:rsid w:val="000A6F02"/>
    <w:rsid w:val="000A6F2D"/>
    <w:rsid w:val="000A712F"/>
    <w:rsid w:val="000A7ED1"/>
    <w:rsid w:val="000B0764"/>
    <w:rsid w:val="000B0DD0"/>
    <w:rsid w:val="000B1127"/>
    <w:rsid w:val="000B1383"/>
    <w:rsid w:val="000B19A7"/>
    <w:rsid w:val="000B201C"/>
    <w:rsid w:val="000B33E5"/>
    <w:rsid w:val="000B3778"/>
    <w:rsid w:val="000B4834"/>
    <w:rsid w:val="000B5133"/>
    <w:rsid w:val="000B5620"/>
    <w:rsid w:val="000B579E"/>
    <w:rsid w:val="000B5EB4"/>
    <w:rsid w:val="000B6482"/>
    <w:rsid w:val="000B658B"/>
    <w:rsid w:val="000B69E4"/>
    <w:rsid w:val="000B6BE4"/>
    <w:rsid w:val="000B6F48"/>
    <w:rsid w:val="000B7381"/>
    <w:rsid w:val="000B7395"/>
    <w:rsid w:val="000B7500"/>
    <w:rsid w:val="000B7D76"/>
    <w:rsid w:val="000C01FC"/>
    <w:rsid w:val="000C0671"/>
    <w:rsid w:val="000C0C84"/>
    <w:rsid w:val="000C17B0"/>
    <w:rsid w:val="000C18C2"/>
    <w:rsid w:val="000C1F2F"/>
    <w:rsid w:val="000C209A"/>
    <w:rsid w:val="000C2540"/>
    <w:rsid w:val="000C2571"/>
    <w:rsid w:val="000C3049"/>
    <w:rsid w:val="000C4737"/>
    <w:rsid w:val="000C4C95"/>
    <w:rsid w:val="000C4E5F"/>
    <w:rsid w:val="000C5319"/>
    <w:rsid w:val="000C56F5"/>
    <w:rsid w:val="000C57DD"/>
    <w:rsid w:val="000C5928"/>
    <w:rsid w:val="000C594B"/>
    <w:rsid w:val="000C5E25"/>
    <w:rsid w:val="000C6306"/>
    <w:rsid w:val="000C6C40"/>
    <w:rsid w:val="000C7295"/>
    <w:rsid w:val="000D1314"/>
    <w:rsid w:val="000D15D2"/>
    <w:rsid w:val="000D1D9F"/>
    <w:rsid w:val="000D1DAF"/>
    <w:rsid w:val="000D1DB7"/>
    <w:rsid w:val="000D1DCF"/>
    <w:rsid w:val="000D2EAA"/>
    <w:rsid w:val="000D33B5"/>
    <w:rsid w:val="000D369D"/>
    <w:rsid w:val="000D36F1"/>
    <w:rsid w:val="000D4619"/>
    <w:rsid w:val="000D4888"/>
    <w:rsid w:val="000D49C1"/>
    <w:rsid w:val="000D4C2E"/>
    <w:rsid w:val="000D55FB"/>
    <w:rsid w:val="000D5708"/>
    <w:rsid w:val="000D5B6D"/>
    <w:rsid w:val="000D63ED"/>
    <w:rsid w:val="000D67D4"/>
    <w:rsid w:val="000D6F9D"/>
    <w:rsid w:val="000D7662"/>
    <w:rsid w:val="000D7694"/>
    <w:rsid w:val="000D78DC"/>
    <w:rsid w:val="000D7917"/>
    <w:rsid w:val="000D7C58"/>
    <w:rsid w:val="000D7F5C"/>
    <w:rsid w:val="000E0B64"/>
    <w:rsid w:val="000E132D"/>
    <w:rsid w:val="000E1E6E"/>
    <w:rsid w:val="000E1F5D"/>
    <w:rsid w:val="000E20E0"/>
    <w:rsid w:val="000E210B"/>
    <w:rsid w:val="000E223F"/>
    <w:rsid w:val="000E25A3"/>
    <w:rsid w:val="000E2608"/>
    <w:rsid w:val="000E301E"/>
    <w:rsid w:val="000E3216"/>
    <w:rsid w:val="000E43A0"/>
    <w:rsid w:val="000E43E5"/>
    <w:rsid w:val="000E4635"/>
    <w:rsid w:val="000E4858"/>
    <w:rsid w:val="000E4863"/>
    <w:rsid w:val="000E4A7C"/>
    <w:rsid w:val="000E4E93"/>
    <w:rsid w:val="000E51AB"/>
    <w:rsid w:val="000E574E"/>
    <w:rsid w:val="000E5E58"/>
    <w:rsid w:val="000E5FE7"/>
    <w:rsid w:val="000E655A"/>
    <w:rsid w:val="000E6629"/>
    <w:rsid w:val="000E6B9F"/>
    <w:rsid w:val="000E6DF7"/>
    <w:rsid w:val="000E756D"/>
    <w:rsid w:val="000E75A5"/>
    <w:rsid w:val="000F0B3A"/>
    <w:rsid w:val="000F0F2D"/>
    <w:rsid w:val="000F1451"/>
    <w:rsid w:val="000F1564"/>
    <w:rsid w:val="000F16ED"/>
    <w:rsid w:val="000F1B38"/>
    <w:rsid w:val="000F1C11"/>
    <w:rsid w:val="000F2317"/>
    <w:rsid w:val="000F33BF"/>
    <w:rsid w:val="000F398D"/>
    <w:rsid w:val="000F4B0B"/>
    <w:rsid w:val="000F4B6C"/>
    <w:rsid w:val="000F4DBB"/>
    <w:rsid w:val="000F4FC4"/>
    <w:rsid w:val="000F51E5"/>
    <w:rsid w:val="000F569B"/>
    <w:rsid w:val="000F67A8"/>
    <w:rsid w:val="000F7517"/>
    <w:rsid w:val="000F7728"/>
    <w:rsid w:val="000F77C2"/>
    <w:rsid w:val="000F784D"/>
    <w:rsid w:val="000F7934"/>
    <w:rsid w:val="000F7E6F"/>
    <w:rsid w:val="00100479"/>
    <w:rsid w:val="00100617"/>
    <w:rsid w:val="0010065E"/>
    <w:rsid w:val="001008BD"/>
    <w:rsid w:val="00100AD7"/>
    <w:rsid w:val="00100BD8"/>
    <w:rsid w:val="00101C0E"/>
    <w:rsid w:val="00101CCD"/>
    <w:rsid w:val="00101E13"/>
    <w:rsid w:val="00101E89"/>
    <w:rsid w:val="001020EC"/>
    <w:rsid w:val="001024A5"/>
    <w:rsid w:val="00102B54"/>
    <w:rsid w:val="00102B94"/>
    <w:rsid w:val="00102CA5"/>
    <w:rsid w:val="001033D1"/>
    <w:rsid w:val="00103507"/>
    <w:rsid w:val="001048EF"/>
    <w:rsid w:val="00104E0A"/>
    <w:rsid w:val="00104EAC"/>
    <w:rsid w:val="00105504"/>
    <w:rsid w:val="00105ABE"/>
    <w:rsid w:val="00105FDF"/>
    <w:rsid w:val="00106284"/>
    <w:rsid w:val="00107187"/>
    <w:rsid w:val="0010719F"/>
    <w:rsid w:val="0010793D"/>
    <w:rsid w:val="00107F62"/>
    <w:rsid w:val="00110003"/>
    <w:rsid w:val="00110210"/>
    <w:rsid w:val="00110257"/>
    <w:rsid w:val="001109A9"/>
    <w:rsid w:val="001113C9"/>
    <w:rsid w:val="0011153B"/>
    <w:rsid w:val="001115B6"/>
    <w:rsid w:val="0011175A"/>
    <w:rsid w:val="0011192F"/>
    <w:rsid w:val="00111AF1"/>
    <w:rsid w:val="00111C0F"/>
    <w:rsid w:val="00111D21"/>
    <w:rsid w:val="00111E68"/>
    <w:rsid w:val="00112227"/>
    <w:rsid w:val="0011265D"/>
    <w:rsid w:val="00112986"/>
    <w:rsid w:val="00112B06"/>
    <w:rsid w:val="00113173"/>
    <w:rsid w:val="0011339E"/>
    <w:rsid w:val="00113D67"/>
    <w:rsid w:val="00113F9C"/>
    <w:rsid w:val="00114388"/>
    <w:rsid w:val="00114838"/>
    <w:rsid w:val="00114D19"/>
    <w:rsid w:val="001151F0"/>
    <w:rsid w:val="0011552C"/>
    <w:rsid w:val="0011582A"/>
    <w:rsid w:val="00115C2E"/>
    <w:rsid w:val="001162B3"/>
    <w:rsid w:val="00116EFA"/>
    <w:rsid w:val="00117924"/>
    <w:rsid w:val="00117AE2"/>
    <w:rsid w:val="00117BEE"/>
    <w:rsid w:val="00117D5A"/>
    <w:rsid w:val="00117F4A"/>
    <w:rsid w:val="0012005E"/>
    <w:rsid w:val="00120077"/>
    <w:rsid w:val="001201AF"/>
    <w:rsid w:val="001212C7"/>
    <w:rsid w:val="00121625"/>
    <w:rsid w:val="00121ED8"/>
    <w:rsid w:val="001220D7"/>
    <w:rsid w:val="001221A8"/>
    <w:rsid w:val="001222E3"/>
    <w:rsid w:val="00122BF2"/>
    <w:rsid w:val="00122C28"/>
    <w:rsid w:val="00123A6B"/>
    <w:rsid w:val="00123DC0"/>
    <w:rsid w:val="00123ECE"/>
    <w:rsid w:val="0012429E"/>
    <w:rsid w:val="001244B8"/>
    <w:rsid w:val="00124A8D"/>
    <w:rsid w:val="00124CAB"/>
    <w:rsid w:val="001252A2"/>
    <w:rsid w:val="001254D6"/>
    <w:rsid w:val="00125D6A"/>
    <w:rsid w:val="00125F76"/>
    <w:rsid w:val="001269DD"/>
    <w:rsid w:val="00126AAB"/>
    <w:rsid w:val="00126B6C"/>
    <w:rsid w:val="00126CD8"/>
    <w:rsid w:val="00126F13"/>
    <w:rsid w:val="00126F6D"/>
    <w:rsid w:val="001275B6"/>
    <w:rsid w:val="00127F05"/>
    <w:rsid w:val="0013051C"/>
    <w:rsid w:val="00130605"/>
    <w:rsid w:val="00130850"/>
    <w:rsid w:val="0013086E"/>
    <w:rsid w:val="00130A74"/>
    <w:rsid w:val="00130B0D"/>
    <w:rsid w:val="001315E7"/>
    <w:rsid w:val="00131E4D"/>
    <w:rsid w:val="00131F71"/>
    <w:rsid w:val="001322A7"/>
    <w:rsid w:val="00133029"/>
    <w:rsid w:val="00133764"/>
    <w:rsid w:val="00133AAE"/>
    <w:rsid w:val="00133DB2"/>
    <w:rsid w:val="00133DFE"/>
    <w:rsid w:val="00133E06"/>
    <w:rsid w:val="00134057"/>
    <w:rsid w:val="00134156"/>
    <w:rsid w:val="00134837"/>
    <w:rsid w:val="0013493A"/>
    <w:rsid w:val="001349D6"/>
    <w:rsid w:val="00134B2E"/>
    <w:rsid w:val="0013569B"/>
    <w:rsid w:val="001365B6"/>
    <w:rsid w:val="00136B81"/>
    <w:rsid w:val="00136CFD"/>
    <w:rsid w:val="0013751D"/>
    <w:rsid w:val="001377CF"/>
    <w:rsid w:val="001379F1"/>
    <w:rsid w:val="00137D77"/>
    <w:rsid w:val="0014019D"/>
    <w:rsid w:val="0014079F"/>
    <w:rsid w:val="001407CD"/>
    <w:rsid w:val="00140B2F"/>
    <w:rsid w:val="00140B31"/>
    <w:rsid w:val="00141414"/>
    <w:rsid w:val="001415B7"/>
    <w:rsid w:val="00141749"/>
    <w:rsid w:val="00141917"/>
    <w:rsid w:val="001419AA"/>
    <w:rsid w:val="00141F39"/>
    <w:rsid w:val="00142989"/>
    <w:rsid w:val="00142C2A"/>
    <w:rsid w:val="00142F5F"/>
    <w:rsid w:val="001433D1"/>
    <w:rsid w:val="001434A7"/>
    <w:rsid w:val="001434C5"/>
    <w:rsid w:val="00143B21"/>
    <w:rsid w:val="00144213"/>
    <w:rsid w:val="00144479"/>
    <w:rsid w:val="00144729"/>
    <w:rsid w:val="00144BFA"/>
    <w:rsid w:val="00144CCF"/>
    <w:rsid w:val="001452C9"/>
    <w:rsid w:val="00145D8C"/>
    <w:rsid w:val="00145EBC"/>
    <w:rsid w:val="00145F86"/>
    <w:rsid w:val="001464F6"/>
    <w:rsid w:val="001467DB"/>
    <w:rsid w:val="00146B46"/>
    <w:rsid w:val="00146BA9"/>
    <w:rsid w:val="0014724B"/>
    <w:rsid w:val="001479F7"/>
    <w:rsid w:val="00147CFA"/>
    <w:rsid w:val="00147DD6"/>
    <w:rsid w:val="001500FE"/>
    <w:rsid w:val="00150803"/>
    <w:rsid w:val="00150CAA"/>
    <w:rsid w:val="00151B55"/>
    <w:rsid w:val="00151F0D"/>
    <w:rsid w:val="00152040"/>
    <w:rsid w:val="00152269"/>
    <w:rsid w:val="0015244F"/>
    <w:rsid w:val="0015247D"/>
    <w:rsid w:val="001526D7"/>
    <w:rsid w:val="0015291E"/>
    <w:rsid w:val="00152B61"/>
    <w:rsid w:val="00153600"/>
    <w:rsid w:val="00154165"/>
    <w:rsid w:val="001549A6"/>
    <w:rsid w:val="00154CD7"/>
    <w:rsid w:val="0015512D"/>
    <w:rsid w:val="00155543"/>
    <w:rsid w:val="00155645"/>
    <w:rsid w:val="0015565F"/>
    <w:rsid w:val="00155A7E"/>
    <w:rsid w:val="00155D22"/>
    <w:rsid w:val="00155E06"/>
    <w:rsid w:val="00155F12"/>
    <w:rsid w:val="001573E7"/>
    <w:rsid w:val="00157697"/>
    <w:rsid w:val="0015780F"/>
    <w:rsid w:val="001578F6"/>
    <w:rsid w:val="00157BB7"/>
    <w:rsid w:val="00157C59"/>
    <w:rsid w:val="00160698"/>
    <w:rsid w:val="001607D9"/>
    <w:rsid w:val="00160DC0"/>
    <w:rsid w:val="00161022"/>
    <w:rsid w:val="0016109E"/>
    <w:rsid w:val="00161AE9"/>
    <w:rsid w:val="00161E36"/>
    <w:rsid w:val="00162321"/>
    <w:rsid w:val="00162650"/>
    <w:rsid w:val="00162694"/>
    <w:rsid w:val="00163102"/>
    <w:rsid w:val="00163521"/>
    <w:rsid w:val="00163768"/>
    <w:rsid w:val="00163987"/>
    <w:rsid w:val="00163C6F"/>
    <w:rsid w:val="00164025"/>
    <w:rsid w:val="0016414F"/>
    <w:rsid w:val="0016466B"/>
    <w:rsid w:val="00164FC4"/>
    <w:rsid w:val="00165461"/>
    <w:rsid w:val="00165DB9"/>
    <w:rsid w:val="001661C0"/>
    <w:rsid w:val="0016650C"/>
    <w:rsid w:val="00166785"/>
    <w:rsid w:val="00166B32"/>
    <w:rsid w:val="00166DC6"/>
    <w:rsid w:val="0016711D"/>
    <w:rsid w:val="00167254"/>
    <w:rsid w:val="0016731F"/>
    <w:rsid w:val="001674CD"/>
    <w:rsid w:val="001677D8"/>
    <w:rsid w:val="00167851"/>
    <w:rsid w:val="00167CFE"/>
    <w:rsid w:val="00167E28"/>
    <w:rsid w:val="00167E9A"/>
    <w:rsid w:val="00167F70"/>
    <w:rsid w:val="0017017F"/>
    <w:rsid w:val="001702F4"/>
    <w:rsid w:val="00170441"/>
    <w:rsid w:val="001713B2"/>
    <w:rsid w:val="00171736"/>
    <w:rsid w:val="00171944"/>
    <w:rsid w:val="00171A2C"/>
    <w:rsid w:val="00171B1C"/>
    <w:rsid w:val="00172162"/>
    <w:rsid w:val="001730AA"/>
    <w:rsid w:val="0017425E"/>
    <w:rsid w:val="001748D5"/>
    <w:rsid w:val="0017520A"/>
    <w:rsid w:val="001755B8"/>
    <w:rsid w:val="001758E8"/>
    <w:rsid w:val="0017614C"/>
    <w:rsid w:val="0017617C"/>
    <w:rsid w:val="00176299"/>
    <w:rsid w:val="00177176"/>
    <w:rsid w:val="00177B6C"/>
    <w:rsid w:val="00180272"/>
    <w:rsid w:val="001804BB"/>
    <w:rsid w:val="00180690"/>
    <w:rsid w:val="001813B7"/>
    <w:rsid w:val="00181404"/>
    <w:rsid w:val="00182139"/>
    <w:rsid w:val="00182890"/>
    <w:rsid w:val="0018303C"/>
    <w:rsid w:val="0018320B"/>
    <w:rsid w:val="00183691"/>
    <w:rsid w:val="00183D2B"/>
    <w:rsid w:val="00183F0E"/>
    <w:rsid w:val="00184115"/>
    <w:rsid w:val="001841F2"/>
    <w:rsid w:val="001846C7"/>
    <w:rsid w:val="00184744"/>
    <w:rsid w:val="00184A7A"/>
    <w:rsid w:val="00184CB9"/>
    <w:rsid w:val="00184EFF"/>
    <w:rsid w:val="00185726"/>
    <w:rsid w:val="00186747"/>
    <w:rsid w:val="001869C3"/>
    <w:rsid w:val="0018706A"/>
    <w:rsid w:val="00187136"/>
    <w:rsid w:val="001871D3"/>
    <w:rsid w:val="001873AB"/>
    <w:rsid w:val="001873E1"/>
    <w:rsid w:val="001874DA"/>
    <w:rsid w:val="001876A2"/>
    <w:rsid w:val="00187E3B"/>
    <w:rsid w:val="0019000D"/>
    <w:rsid w:val="001902AA"/>
    <w:rsid w:val="00190528"/>
    <w:rsid w:val="001905DD"/>
    <w:rsid w:val="00190ACF"/>
    <w:rsid w:val="00190E2D"/>
    <w:rsid w:val="00190E82"/>
    <w:rsid w:val="00190FC0"/>
    <w:rsid w:val="00191BC4"/>
    <w:rsid w:val="00192CE4"/>
    <w:rsid w:val="00192D52"/>
    <w:rsid w:val="001930D5"/>
    <w:rsid w:val="00193495"/>
    <w:rsid w:val="0019356C"/>
    <w:rsid w:val="00193B28"/>
    <w:rsid w:val="00193B76"/>
    <w:rsid w:val="0019466A"/>
    <w:rsid w:val="00194F22"/>
    <w:rsid w:val="001950FE"/>
    <w:rsid w:val="001951B0"/>
    <w:rsid w:val="0019522A"/>
    <w:rsid w:val="0019532A"/>
    <w:rsid w:val="001956B0"/>
    <w:rsid w:val="00195D77"/>
    <w:rsid w:val="0019608B"/>
    <w:rsid w:val="00196968"/>
    <w:rsid w:val="00196ECC"/>
    <w:rsid w:val="001975B6"/>
    <w:rsid w:val="0019783C"/>
    <w:rsid w:val="00197A4B"/>
    <w:rsid w:val="00197A52"/>
    <w:rsid w:val="00197CAF"/>
    <w:rsid w:val="001A00C9"/>
    <w:rsid w:val="001A00E5"/>
    <w:rsid w:val="001A00F3"/>
    <w:rsid w:val="001A02BE"/>
    <w:rsid w:val="001A053D"/>
    <w:rsid w:val="001A0CBB"/>
    <w:rsid w:val="001A13F0"/>
    <w:rsid w:val="001A164E"/>
    <w:rsid w:val="001A1697"/>
    <w:rsid w:val="001A174B"/>
    <w:rsid w:val="001A18CB"/>
    <w:rsid w:val="001A1AC2"/>
    <w:rsid w:val="001A1AD4"/>
    <w:rsid w:val="001A1D6F"/>
    <w:rsid w:val="001A244F"/>
    <w:rsid w:val="001A2947"/>
    <w:rsid w:val="001A35BD"/>
    <w:rsid w:val="001A3866"/>
    <w:rsid w:val="001A3A77"/>
    <w:rsid w:val="001A3AAA"/>
    <w:rsid w:val="001A3E25"/>
    <w:rsid w:val="001A3ED2"/>
    <w:rsid w:val="001A408F"/>
    <w:rsid w:val="001A4095"/>
    <w:rsid w:val="001A4500"/>
    <w:rsid w:val="001A46DC"/>
    <w:rsid w:val="001A4701"/>
    <w:rsid w:val="001A49C9"/>
    <w:rsid w:val="001A54E2"/>
    <w:rsid w:val="001A5505"/>
    <w:rsid w:val="001A551E"/>
    <w:rsid w:val="001A5B5D"/>
    <w:rsid w:val="001A5F11"/>
    <w:rsid w:val="001A5FB7"/>
    <w:rsid w:val="001A6073"/>
    <w:rsid w:val="001A63CC"/>
    <w:rsid w:val="001A6A97"/>
    <w:rsid w:val="001A6FC0"/>
    <w:rsid w:val="001A72CB"/>
    <w:rsid w:val="001A753F"/>
    <w:rsid w:val="001A76E5"/>
    <w:rsid w:val="001A772A"/>
    <w:rsid w:val="001A779D"/>
    <w:rsid w:val="001A7979"/>
    <w:rsid w:val="001A7C6F"/>
    <w:rsid w:val="001B0586"/>
    <w:rsid w:val="001B0E5A"/>
    <w:rsid w:val="001B0EF2"/>
    <w:rsid w:val="001B184E"/>
    <w:rsid w:val="001B1E55"/>
    <w:rsid w:val="001B2207"/>
    <w:rsid w:val="001B32AB"/>
    <w:rsid w:val="001B33AB"/>
    <w:rsid w:val="001B3896"/>
    <w:rsid w:val="001B3A7C"/>
    <w:rsid w:val="001B3AA2"/>
    <w:rsid w:val="001B3BC1"/>
    <w:rsid w:val="001B4233"/>
    <w:rsid w:val="001B4321"/>
    <w:rsid w:val="001B4380"/>
    <w:rsid w:val="001B5B43"/>
    <w:rsid w:val="001B6186"/>
    <w:rsid w:val="001B61DB"/>
    <w:rsid w:val="001B63A4"/>
    <w:rsid w:val="001B6D4D"/>
    <w:rsid w:val="001B70BD"/>
    <w:rsid w:val="001B7C3B"/>
    <w:rsid w:val="001C090C"/>
    <w:rsid w:val="001C1028"/>
    <w:rsid w:val="001C1672"/>
    <w:rsid w:val="001C18D0"/>
    <w:rsid w:val="001C19F4"/>
    <w:rsid w:val="001C1A13"/>
    <w:rsid w:val="001C2C5E"/>
    <w:rsid w:val="001C37CB"/>
    <w:rsid w:val="001C4359"/>
    <w:rsid w:val="001C472A"/>
    <w:rsid w:val="001C4747"/>
    <w:rsid w:val="001C4E21"/>
    <w:rsid w:val="001C4F7D"/>
    <w:rsid w:val="001C555E"/>
    <w:rsid w:val="001C580B"/>
    <w:rsid w:val="001C70F1"/>
    <w:rsid w:val="001C7762"/>
    <w:rsid w:val="001C7B76"/>
    <w:rsid w:val="001D08B5"/>
    <w:rsid w:val="001D0E81"/>
    <w:rsid w:val="001D1127"/>
    <w:rsid w:val="001D1543"/>
    <w:rsid w:val="001D2005"/>
    <w:rsid w:val="001D2589"/>
    <w:rsid w:val="001D271D"/>
    <w:rsid w:val="001D276B"/>
    <w:rsid w:val="001D2C13"/>
    <w:rsid w:val="001D2F07"/>
    <w:rsid w:val="001D3041"/>
    <w:rsid w:val="001D35B6"/>
    <w:rsid w:val="001D3805"/>
    <w:rsid w:val="001D3806"/>
    <w:rsid w:val="001D3AE3"/>
    <w:rsid w:val="001D3BA5"/>
    <w:rsid w:val="001D46AC"/>
    <w:rsid w:val="001D4818"/>
    <w:rsid w:val="001D4C3D"/>
    <w:rsid w:val="001D51C2"/>
    <w:rsid w:val="001D54DF"/>
    <w:rsid w:val="001D6265"/>
    <w:rsid w:val="001D6D41"/>
    <w:rsid w:val="001D714B"/>
    <w:rsid w:val="001D724E"/>
    <w:rsid w:val="001D7667"/>
    <w:rsid w:val="001D7BBC"/>
    <w:rsid w:val="001D7BE3"/>
    <w:rsid w:val="001E0A0F"/>
    <w:rsid w:val="001E0E72"/>
    <w:rsid w:val="001E0EEB"/>
    <w:rsid w:val="001E110A"/>
    <w:rsid w:val="001E11D2"/>
    <w:rsid w:val="001E14D9"/>
    <w:rsid w:val="001E19F6"/>
    <w:rsid w:val="001E1CF9"/>
    <w:rsid w:val="001E1DBC"/>
    <w:rsid w:val="001E264A"/>
    <w:rsid w:val="001E293A"/>
    <w:rsid w:val="001E2B5C"/>
    <w:rsid w:val="001E2BE4"/>
    <w:rsid w:val="001E2D7C"/>
    <w:rsid w:val="001E2DC6"/>
    <w:rsid w:val="001E38AA"/>
    <w:rsid w:val="001E3E77"/>
    <w:rsid w:val="001E42F6"/>
    <w:rsid w:val="001E4628"/>
    <w:rsid w:val="001E4EAF"/>
    <w:rsid w:val="001E59D3"/>
    <w:rsid w:val="001E5C2E"/>
    <w:rsid w:val="001E5DA1"/>
    <w:rsid w:val="001E5E0C"/>
    <w:rsid w:val="001E6052"/>
    <w:rsid w:val="001E6E77"/>
    <w:rsid w:val="001E6F54"/>
    <w:rsid w:val="001E765E"/>
    <w:rsid w:val="001E7A9F"/>
    <w:rsid w:val="001F0111"/>
    <w:rsid w:val="001F01EA"/>
    <w:rsid w:val="001F0456"/>
    <w:rsid w:val="001F097D"/>
    <w:rsid w:val="001F0D84"/>
    <w:rsid w:val="001F118C"/>
    <w:rsid w:val="001F16B5"/>
    <w:rsid w:val="001F1902"/>
    <w:rsid w:val="001F1BB7"/>
    <w:rsid w:val="001F1EFF"/>
    <w:rsid w:val="001F2C66"/>
    <w:rsid w:val="001F2DB6"/>
    <w:rsid w:val="001F3299"/>
    <w:rsid w:val="001F3759"/>
    <w:rsid w:val="001F3AFE"/>
    <w:rsid w:val="001F414E"/>
    <w:rsid w:val="001F4261"/>
    <w:rsid w:val="001F4909"/>
    <w:rsid w:val="001F50AE"/>
    <w:rsid w:val="001F5213"/>
    <w:rsid w:val="001F5B23"/>
    <w:rsid w:val="001F5D27"/>
    <w:rsid w:val="001F5D28"/>
    <w:rsid w:val="001F5E1B"/>
    <w:rsid w:val="001F5E73"/>
    <w:rsid w:val="001F62DA"/>
    <w:rsid w:val="001F644E"/>
    <w:rsid w:val="001F6A0F"/>
    <w:rsid w:val="001F6C3F"/>
    <w:rsid w:val="001F6E37"/>
    <w:rsid w:val="001F6F31"/>
    <w:rsid w:val="001F7255"/>
    <w:rsid w:val="001F762F"/>
    <w:rsid w:val="001F7C4C"/>
    <w:rsid w:val="001F7D8C"/>
    <w:rsid w:val="002003C7"/>
    <w:rsid w:val="00200465"/>
    <w:rsid w:val="00200CF8"/>
    <w:rsid w:val="00200E4D"/>
    <w:rsid w:val="0020176D"/>
    <w:rsid w:val="00201A12"/>
    <w:rsid w:val="00202300"/>
    <w:rsid w:val="00202F93"/>
    <w:rsid w:val="002032E0"/>
    <w:rsid w:val="0020350D"/>
    <w:rsid w:val="00203D1F"/>
    <w:rsid w:val="002041E0"/>
    <w:rsid w:val="00204538"/>
    <w:rsid w:val="00204BB2"/>
    <w:rsid w:val="00205267"/>
    <w:rsid w:val="0020550D"/>
    <w:rsid w:val="0020561F"/>
    <w:rsid w:val="00205B13"/>
    <w:rsid w:val="0020628C"/>
    <w:rsid w:val="0020641C"/>
    <w:rsid w:val="002064BA"/>
    <w:rsid w:val="002064F5"/>
    <w:rsid w:val="002066C6"/>
    <w:rsid w:val="00206E35"/>
    <w:rsid w:val="0020754E"/>
    <w:rsid w:val="0020763F"/>
    <w:rsid w:val="0020792C"/>
    <w:rsid w:val="002104B6"/>
    <w:rsid w:val="00210857"/>
    <w:rsid w:val="002120AE"/>
    <w:rsid w:val="0021255B"/>
    <w:rsid w:val="002129CC"/>
    <w:rsid w:val="002130A4"/>
    <w:rsid w:val="00214EFF"/>
    <w:rsid w:val="002150A7"/>
    <w:rsid w:val="00215202"/>
    <w:rsid w:val="00215E86"/>
    <w:rsid w:val="002162BE"/>
    <w:rsid w:val="00216414"/>
    <w:rsid w:val="00216645"/>
    <w:rsid w:val="00216674"/>
    <w:rsid w:val="002167CE"/>
    <w:rsid w:val="00216984"/>
    <w:rsid w:val="00216CB0"/>
    <w:rsid w:val="00217E5D"/>
    <w:rsid w:val="0022006F"/>
    <w:rsid w:val="002204A9"/>
    <w:rsid w:val="00220533"/>
    <w:rsid w:val="00220974"/>
    <w:rsid w:val="00220A22"/>
    <w:rsid w:val="00221013"/>
    <w:rsid w:val="00221D0F"/>
    <w:rsid w:val="00221D1F"/>
    <w:rsid w:val="00221DB1"/>
    <w:rsid w:val="002220F8"/>
    <w:rsid w:val="0022213B"/>
    <w:rsid w:val="00222CD4"/>
    <w:rsid w:val="00222F4C"/>
    <w:rsid w:val="002231E5"/>
    <w:rsid w:val="002236E0"/>
    <w:rsid w:val="00223796"/>
    <w:rsid w:val="00223F0D"/>
    <w:rsid w:val="0022415D"/>
    <w:rsid w:val="0022460E"/>
    <w:rsid w:val="00224A18"/>
    <w:rsid w:val="00224AE8"/>
    <w:rsid w:val="00224B41"/>
    <w:rsid w:val="00224D87"/>
    <w:rsid w:val="00225016"/>
    <w:rsid w:val="0022505D"/>
    <w:rsid w:val="00225312"/>
    <w:rsid w:val="0022562D"/>
    <w:rsid w:val="00225650"/>
    <w:rsid w:val="002256CC"/>
    <w:rsid w:val="00225806"/>
    <w:rsid w:val="00225D81"/>
    <w:rsid w:val="00225E93"/>
    <w:rsid w:val="002265CF"/>
    <w:rsid w:val="0022689D"/>
    <w:rsid w:val="00226FC7"/>
    <w:rsid w:val="0022713D"/>
    <w:rsid w:val="0023013B"/>
    <w:rsid w:val="002301F8"/>
    <w:rsid w:val="002303FB"/>
    <w:rsid w:val="0023083C"/>
    <w:rsid w:val="00230AB5"/>
    <w:rsid w:val="00230D3A"/>
    <w:rsid w:val="00230E93"/>
    <w:rsid w:val="00230F1F"/>
    <w:rsid w:val="002311F5"/>
    <w:rsid w:val="00231313"/>
    <w:rsid w:val="00232229"/>
    <w:rsid w:val="00232250"/>
    <w:rsid w:val="002322FD"/>
    <w:rsid w:val="002324E3"/>
    <w:rsid w:val="00232647"/>
    <w:rsid w:val="00232D18"/>
    <w:rsid w:val="002336E0"/>
    <w:rsid w:val="00233994"/>
    <w:rsid w:val="0023425D"/>
    <w:rsid w:val="00234E75"/>
    <w:rsid w:val="00234FCA"/>
    <w:rsid w:val="0023514A"/>
    <w:rsid w:val="00235A82"/>
    <w:rsid w:val="00235B69"/>
    <w:rsid w:val="00235C29"/>
    <w:rsid w:val="00235CFC"/>
    <w:rsid w:val="00235E4C"/>
    <w:rsid w:val="00235F14"/>
    <w:rsid w:val="002362F9"/>
    <w:rsid w:val="002366C4"/>
    <w:rsid w:val="00237117"/>
    <w:rsid w:val="0023750B"/>
    <w:rsid w:val="0023752A"/>
    <w:rsid w:val="0024013D"/>
    <w:rsid w:val="00240942"/>
    <w:rsid w:val="00240A90"/>
    <w:rsid w:val="00240B0A"/>
    <w:rsid w:val="00240D00"/>
    <w:rsid w:val="002410F5"/>
    <w:rsid w:val="00241176"/>
    <w:rsid w:val="002423A5"/>
    <w:rsid w:val="00242882"/>
    <w:rsid w:val="00242914"/>
    <w:rsid w:val="00242F6D"/>
    <w:rsid w:val="00243065"/>
    <w:rsid w:val="00243249"/>
    <w:rsid w:val="00243571"/>
    <w:rsid w:val="00243759"/>
    <w:rsid w:val="002443CD"/>
    <w:rsid w:val="002445B8"/>
    <w:rsid w:val="00244702"/>
    <w:rsid w:val="0024491C"/>
    <w:rsid w:val="00244D26"/>
    <w:rsid w:val="002455BE"/>
    <w:rsid w:val="0024580C"/>
    <w:rsid w:val="002458C4"/>
    <w:rsid w:val="002458FD"/>
    <w:rsid w:val="00245A89"/>
    <w:rsid w:val="00245BCF"/>
    <w:rsid w:val="00246023"/>
    <w:rsid w:val="002463AC"/>
    <w:rsid w:val="002465D2"/>
    <w:rsid w:val="0024664B"/>
    <w:rsid w:val="00246A3A"/>
    <w:rsid w:val="00246B6E"/>
    <w:rsid w:val="002471BF"/>
    <w:rsid w:val="002471D7"/>
    <w:rsid w:val="002472E1"/>
    <w:rsid w:val="00247C72"/>
    <w:rsid w:val="002504DB"/>
    <w:rsid w:val="00250B5E"/>
    <w:rsid w:val="00250BC4"/>
    <w:rsid w:val="00250E36"/>
    <w:rsid w:val="002512EC"/>
    <w:rsid w:val="002516B1"/>
    <w:rsid w:val="00251A78"/>
    <w:rsid w:val="00251B5A"/>
    <w:rsid w:val="00251FC7"/>
    <w:rsid w:val="002520C3"/>
    <w:rsid w:val="0025221F"/>
    <w:rsid w:val="0025277C"/>
    <w:rsid w:val="0025318F"/>
    <w:rsid w:val="002531A9"/>
    <w:rsid w:val="0025322C"/>
    <w:rsid w:val="002533EA"/>
    <w:rsid w:val="00253639"/>
    <w:rsid w:val="00253840"/>
    <w:rsid w:val="00253CBC"/>
    <w:rsid w:val="00253E44"/>
    <w:rsid w:val="0025430B"/>
    <w:rsid w:val="00254CE7"/>
    <w:rsid w:val="00254CFB"/>
    <w:rsid w:val="002555BF"/>
    <w:rsid w:val="00255E89"/>
    <w:rsid w:val="00255EC0"/>
    <w:rsid w:val="00256505"/>
    <w:rsid w:val="0025681D"/>
    <w:rsid w:val="00256867"/>
    <w:rsid w:val="00256A29"/>
    <w:rsid w:val="00256FDD"/>
    <w:rsid w:val="002573FF"/>
    <w:rsid w:val="002579C1"/>
    <w:rsid w:val="00257A06"/>
    <w:rsid w:val="00257A55"/>
    <w:rsid w:val="002600C1"/>
    <w:rsid w:val="0026080F"/>
    <w:rsid w:val="00260AD4"/>
    <w:rsid w:val="00261BF5"/>
    <w:rsid w:val="0026213C"/>
    <w:rsid w:val="002629D9"/>
    <w:rsid w:val="00262C2D"/>
    <w:rsid w:val="00262E08"/>
    <w:rsid w:val="00263409"/>
    <w:rsid w:val="002634F9"/>
    <w:rsid w:val="002639E7"/>
    <w:rsid w:val="00263E3E"/>
    <w:rsid w:val="0026440F"/>
    <w:rsid w:val="00265ADD"/>
    <w:rsid w:val="00265E0D"/>
    <w:rsid w:val="0026600A"/>
    <w:rsid w:val="002664A9"/>
    <w:rsid w:val="002665FC"/>
    <w:rsid w:val="002669EA"/>
    <w:rsid w:val="00266D8E"/>
    <w:rsid w:val="00266F68"/>
    <w:rsid w:val="0026778F"/>
    <w:rsid w:val="00267C80"/>
    <w:rsid w:val="00267E22"/>
    <w:rsid w:val="0027021F"/>
    <w:rsid w:val="0027026A"/>
    <w:rsid w:val="002705E8"/>
    <w:rsid w:val="002714BB"/>
    <w:rsid w:val="002717DB"/>
    <w:rsid w:val="002718C6"/>
    <w:rsid w:val="00272DE9"/>
    <w:rsid w:val="0027304D"/>
    <w:rsid w:val="00273658"/>
    <w:rsid w:val="00273A98"/>
    <w:rsid w:val="00273CBC"/>
    <w:rsid w:val="00274DE4"/>
    <w:rsid w:val="0027534A"/>
    <w:rsid w:val="0027549A"/>
    <w:rsid w:val="0027624E"/>
    <w:rsid w:val="00276A22"/>
    <w:rsid w:val="00276AF3"/>
    <w:rsid w:val="00277471"/>
    <w:rsid w:val="002775A1"/>
    <w:rsid w:val="00277BA6"/>
    <w:rsid w:val="00277FF8"/>
    <w:rsid w:val="00280156"/>
    <w:rsid w:val="0028020F"/>
    <w:rsid w:val="00280517"/>
    <w:rsid w:val="00280649"/>
    <w:rsid w:val="00281D3B"/>
    <w:rsid w:val="002820AE"/>
    <w:rsid w:val="00282174"/>
    <w:rsid w:val="00282283"/>
    <w:rsid w:val="00282316"/>
    <w:rsid w:val="002824AD"/>
    <w:rsid w:val="002828EB"/>
    <w:rsid w:val="002829DD"/>
    <w:rsid w:val="0028312B"/>
    <w:rsid w:val="00283150"/>
    <w:rsid w:val="00283987"/>
    <w:rsid w:val="00283F1A"/>
    <w:rsid w:val="00283F50"/>
    <w:rsid w:val="0028431A"/>
    <w:rsid w:val="00284B27"/>
    <w:rsid w:val="00284E2B"/>
    <w:rsid w:val="00284E41"/>
    <w:rsid w:val="00284E56"/>
    <w:rsid w:val="00284EC1"/>
    <w:rsid w:val="00284F04"/>
    <w:rsid w:val="0028502D"/>
    <w:rsid w:val="002850B0"/>
    <w:rsid w:val="002855E3"/>
    <w:rsid w:val="00286091"/>
    <w:rsid w:val="0028611F"/>
    <w:rsid w:val="0028683E"/>
    <w:rsid w:val="0028717A"/>
    <w:rsid w:val="002872EF"/>
    <w:rsid w:val="00287356"/>
    <w:rsid w:val="00287735"/>
    <w:rsid w:val="002901A3"/>
    <w:rsid w:val="002901CA"/>
    <w:rsid w:val="002901F0"/>
    <w:rsid w:val="002902B5"/>
    <w:rsid w:val="0029092E"/>
    <w:rsid w:val="00290CD6"/>
    <w:rsid w:val="002910EB"/>
    <w:rsid w:val="002913BF"/>
    <w:rsid w:val="002919B6"/>
    <w:rsid w:val="002920D5"/>
    <w:rsid w:val="00292134"/>
    <w:rsid w:val="00292418"/>
    <w:rsid w:val="00292556"/>
    <w:rsid w:val="002929A0"/>
    <w:rsid w:val="00293122"/>
    <w:rsid w:val="00293139"/>
    <w:rsid w:val="002932BA"/>
    <w:rsid w:val="00293522"/>
    <w:rsid w:val="00293B30"/>
    <w:rsid w:val="00293B59"/>
    <w:rsid w:val="0029491F"/>
    <w:rsid w:val="00294D15"/>
    <w:rsid w:val="002953B5"/>
    <w:rsid w:val="002956A9"/>
    <w:rsid w:val="00295ED5"/>
    <w:rsid w:val="00296833"/>
    <w:rsid w:val="00296A73"/>
    <w:rsid w:val="00296DCF"/>
    <w:rsid w:val="0029724F"/>
    <w:rsid w:val="0029736F"/>
    <w:rsid w:val="0029780F"/>
    <w:rsid w:val="00297B5D"/>
    <w:rsid w:val="00297BED"/>
    <w:rsid w:val="00297EF7"/>
    <w:rsid w:val="00297F23"/>
    <w:rsid w:val="002A08D2"/>
    <w:rsid w:val="002A0CB5"/>
    <w:rsid w:val="002A1188"/>
    <w:rsid w:val="002A2048"/>
    <w:rsid w:val="002A2107"/>
    <w:rsid w:val="002A2183"/>
    <w:rsid w:val="002A23BC"/>
    <w:rsid w:val="002A366D"/>
    <w:rsid w:val="002A36A6"/>
    <w:rsid w:val="002A402F"/>
    <w:rsid w:val="002A430F"/>
    <w:rsid w:val="002A43B3"/>
    <w:rsid w:val="002A45E5"/>
    <w:rsid w:val="002A48FD"/>
    <w:rsid w:val="002A4BB2"/>
    <w:rsid w:val="002A552C"/>
    <w:rsid w:val="002A5B15"/>
    <w:rsid w:val="002A5D94"/>
    <w:rsid w:val="002A5F93"/>
    <w:rsid w:val="002A6707"/>
    <w:rsid w:val="002A679B"/>
    <w:rsid w:val="002A67FF"/>
    <w:rsid w:val="002A6E7A"/>
    <w:rsid w:val="002A71AD"/>
    <w:rsid w:val="002A7D56"/>
    <w:rsid w:val="002B0351"/>
    <w:rsid w:val="002B03D1"/>
    <w:rsid w:val="002B055B"/>
    <w:rsid w:val="002B05B8"/>
    <w:rsid w:val="002B098A"/>
    <w:rsid w:val="002B0A7A"/>
    <w:rsid w:val="002B0D16"/>
    <w:rsid w:val="002B11D0"/>
    <w:rsid w:val="002B191C"/>
    <w:rsid w:val="002B1A0A"/>
    <w:rsid w:val="002B1AA9"/>
    <w:rsid w:val="002B2121"/>
    <w:rsid w:val="002B275A"/>
    <w:rsid w:val="002B2C71"/>
    <w:rsid w:val="002B2F5D"/>
    <w:rsid w:val="002B3291"/>
    <w:rsid w:val="002B40E5"/>
    <w:rsid w:val="002B4436"/>
    <w:rsid w:val="002B44B6"/>
    <w:rsid w:val="002B4630"/>
    <w:rsid w:val="002B4B9D"/>
    <w:rsid w:val="002B54C7"/>
    <w:rsid w:val="002B5526"/>
    <w:rsid w:val="002B5C96"/>
    <w:rsid w:val="002B60B5"/>
    <w:rsid w:val="002B69EC"/>
    <w:rsid w:val="002B6D09"/>
    <w:rsid w:val="002B6E9A"/>
    <w:rsid w:val="002B70F9"/>
    <w:rsid w:val="002B746B"/>
    <w:rsid w:val="002B749C"/>
    <w:rsid w:val="002B7587"/>
    <w:rsid w:val="002B7D33"/>
    <w:rsid w:val="002B7D7D"/>
    <w:rsid w:val="002B7F33"/>
    <w:rsid w:val="002C027E"/>
    <w:rsid w:val="002C036F"/>
    <w:rsid w:val="002C0475"/>
    <w:rsid w:val="002C0483"/>
    <w:rsid w:val="002C0698"/>
    <w:rsid w:val="002C0893"/>
    <w:rsid w:val="002C0FC4"/>
    <w:rsid w:val="002C1127"/>
    <w:rsid w:val="002C1346"/>
    <w:rsid w:val="002C18FA"/>
    <w:rsid w:val="002C1CDB"/>
    <w:rsid w:val="002C2D00"/>
    <w:rsid w:val="002C334E"/>
    <w:rsid w:val="002C352A"/>
    <w:rsid w:val="002C39AF"/>
    <w:rsid w:val="002C3BBB"/>
    <w:rsid w:val="002C3D63"/>
    <w:rsid w:val="002C4388"/>
    <w:rsid w:val="002C4455"/>
    <w:rsid w:val="002C58B6"/>
    <w:rsid w:val="002C5B72"/>
    <w:rsid w:val="002C63CE"/>
    <w:rsid w:val="002C649D"/>
    <w:rsid w:val="002C65B9"/>
    <w:rsid w:val="002C682D"/>
    <w:rsid w:val="002C7103"/>
    <w:rsid w:val="002C734A"/>
    <w:rsid w:val="002C761A"/>
    <w:rsid w:val="002C781F"/>
    <w:rsid w:val="002D00FA"/>
    <w:rsid w:val="002D0103"/>
    <w:rsid w:val="002D05CC"/>
    <w:rsid w:val="002D0949"/>
    <w:rsid w:val="002D258B"/>
    <w:rsid w:val="002D27D3"/>
    <w:rsid w:val="002D38C8"/>
    <w:rsid w:val="002D39F3"/>
    <w:rsid w:val="002D3DB4"/>
    <w:rsid w:val="002D3F2B"/>
    <w:rsid w:val="002D4008"/>
    <w:rsid w:val="002D524A"/>
    <w:rsid w:val="002D556A"/>
    <w:rsid w:val="002D5940"/>
    <w:rsid w:val="002D5A7A"/>
    <w:rsid w:val="002D6043"/>
    <w:rsid w:val="002D6059"/>
    <w:rsid w:val="002D609D"/>
    <w:rsid w:val="002D6323"/>
    <w:rsid w:val="002D6389"/>
    <w:rsid w:val="002D6403"/>
    <w:rsid w:val="002D6462"/>
    <w:rsid w:val="002D6577"/>
    <w:rsid w:val="002D6ADF"/>
    <w:rsid w:val="002D6C70"/>
    <w:rsid w:val="002D6CE2"/>
    <w:rsid w:val="002D6D01"/>
    <w:rsid w:val="002D6FF0"/>
    <w:rsid w:val="002D70D3"/>
    <w:rsid w:val="002D7218"/>
    <w:rsid w:val="002D72A0"/>
    <w:rsid w:val="002D7A3E"/>
    <w:rsid w:val="002D7AC2"/>
    <w:rsid w:val="002D7AEE"/>
    <w:rsid w:val="002E02E5"/>
    <w:rsid w:val="002E0488"/>
    <w:rsid w:val="002E05F4"/>
    <w:rsid w:val="002E06B1"/>
    <w:rsid w:val="002E0FF2"/>
    <w:rsid w:val="002E16D5"/>
    <w:rsid w:val="002E196D"/>
    <w:rsid w:val="002E1AD3"/>
    <w:rsid w:val="002E1ADF"/>
    <w:rsid w:val="002E1C6D"/>
    <w:rsid w:val="002E246D"/>
    <w:rsid w:val="002E30F8"/>
    <w:rsid w:val="002E33CA"/>
    <w:rsid w:val="002E3746"/>
    <w:rsid w:val="002E383B"/>
    <w:rsid w:val="002E3A01"/>
    <w:rsid w:val="002E3D4A"/>
    <w:rsid w:val="002E3F7D"/>
    <w:rsid w:val="002E415D"/>
    <w:rsid w:val="002E4324"/>
    <w:rsid w:val="002E46C4"/>
    <w:rsid w:val="002E4AF4"/>
    <w:rsid w:val="002E4CE0"/>
    <w:rsid w:val="002E57B2"/>
    <w:rsid w:val="002E5F3D"/>
    <w:rsid w:val="002E6096"/>
    <w:rsid w:val="002E60DC"/>
    <w:rsid w:val="002E613B"/>
    <w:rsid w:val="002E6CB2"/>
    <w:rsid w:val="002E7667"/>
    <w:rsid w:val="002E78A6"/>
    <w:rsid w:val="002E7A3D"/>
    <w:rsid w:val="002F0D5D"/>
    <w:rsid w:val="002F0DB5"/>
    <w:rsid w:val="002F10CC"/>
    <w:rsid w:val="002F10E4"/>
    <w:rsid w:val="002F195A"/>
    <w:rsid w:val="002F1DD7"/>
    <w:rsid w:val="002F1F9C"/>
    <w:rsid w:val="002F2005"/>
    <w:rsid w:val="002F2815"/>
    <w:rsid w:val="002F2EA7"/>
    <w:rsid w:val="002F310E"/>
    <w:rsid w:val="002F31BC"/>
    <w:rsid w:val="002F3431"/>
    <w:rsid w:val="002F3605"/>
    <w:rsid w:val="002F3D24"/>
    <w:rsid w:val="002F440D"/>
    <w:rsid w:val="002F5264"/>
    <w:rsid w:val="002F65A3"/>
    <w:rsid w:val="002F6636"/>
    <w:rsid w:val="002F6820"/>
    <w:rsid w:val="002F7C59"/>
    <w:rsid w:val="002F7F7C"/>
    <w:rsid w:val="002F7FCC"/>
    <w:rsid w:val="00300092"/>
    <w:rsid w:val="0030046C"/>
    <w:rsid w:val="00300608"/>
    <w:rsid w:val="003007F1"/>
    <w:rsid w:val="00300A96"/>
    <w:rsid w:val="00300C89"/>
    <w:rsid w:val="00300DB4"/>
    <w:rsid w:val="00300EA0"/>
    <w:rsid w:val="0030138D"/>
    <w:rsid w:val="00301459"/>
    <w:rsid w:val="00301601"/>
    <w:rsid w:val="00301A79"/>
    <w:rsid w:val="00301DBE"/>
    <w:rsid w:val="00301DC5"/>
    <w:rsid w:val="00301DD3"/>
    <w:rsid w:val="0030255E"/>
    <w:rsid w:val="00302C03"/>
    <w:rsid w:val="00303452"/>
    <w:rsid w:val="003036DA"/>
    <w:rsid w:val="00303E72"/>
    <w:rsid w:val="00304973"/>
    <w:rsid w:val="00304DAA"/>
    <w:rsid w:val="00305002"/>
    <w:rsid w:val="0030526B"/>
    <w:rsid w:val="0030579F"/>
    <w:rsid w:val="00305B82"/>
    <w:rsid w:val="0030623F"/>
    <w:rsid w:val="00306615"/>
    <w:rsid w:val="00306D06"/>
    <w:rsid w:val="00307292"/>
    <w:rsid w:val="0031059C"/>
    <w:rsid w:val="003108B0"/>
    <w:rsid w:val="00310A54"/>
    <w:rsid w:val="00310E7A"/>
    <w:rsid w:val="003118AD"/>
    <w:rsid w:val="0031236D"/>
    <w:rsid w:val="00312ABA"/>
    <w:rsid w:val="00312B46"/>
    <w:rsid w:val="00312CCD"/>
    <w:rsid w:val="00312E59"/>
    <w:rsid w:val="00312FEF"/>
    <w:rsid w:val="00313241"/>
    <w:rsid w:val="00313A24"/>
    <w:rsid w:val="0031402B"/>
    <w:rsid w:val="00314643"/>
    <w:rsid w:val="003147CC"/>
    <w:rsid w:val="0031481D"/>
    <w:rsid w:val="003149EF"/>
    <w:rsid w:val="00314A62"/>
    <w:rsid w:val="003158F1"/>
    <w:rsid w:val="00315F8E"/>
    <w:rsid w:val="003166D3"/>
    <w:rsid w:val="00316BC3"/>
    <w:rsid w:val="00316D88"/>
    <w:rsid w:val="00317539"/>
    <w:rsid w:val="0031788C"/>
    <w:rsid w:val="003201AF"/>
    <w:rsid w:val="003203A5"/>
    <w:rsid w:val="00320B58"/>
    <w:rsid w:val="003214D0"/>
    <w:rsid w:val="0032185B"/>
    <w:rsid w:val="00322612"/>
    <w:rsid w:val="003226F8"/>
    <w:rsid w:val="003228E0"/>
    <w:rsid w:val="003229D9"/>
    <w:rsid w:val="00323073"/>
    <w:rsid w:val="003230E6"/>
    <w:rsid w:val="00323B19"/>
    <w:rsid w:val="00324731"/>
    <w:rsid w:val="00324A8F"/>
    <w:rsid w:val="00324B5B"/>
    <w:rsid w:val="00324CCC"/>
    <w:rsid w:val="00324F8E"/>
    <w:rsid w:val="00325157"/>
    <w:rsid w:val="003255AA"/>
    <w:rsid w:val="0032571D"/>
    <w:rsid w:val="00325731"/>
    <w:rsid w:val="00325D6C"/>
    <w:rsid w:val="00326138"/>
    <w:rsid w:val="003262C1"/>
    <w:rsid w:val="003262C6"/>
    <w:rsid w:val="00326736"/>
    <w:rsid w:val="00326939"/>
    <w:rsid w:val="00326B9F"/>
    <w:rsid w:val="00326DFC"/>
    <w:rsid w:val="00327422"/>
    <w:rsid w:val="00327C21"/>
    <w:rsid w:val="0033024F"/>
    <w:rsid w:val="003302B5"/>
    <w:rsid w:val="00330A03"/>
    <w:rsid w:val="003316EC"/>
    <w:rsid w:val="00331F51"/>
    <w:rsid w:val="00332279"/>
    <w:rsid w:val="00332280"/>
    <w:rsid w:val="00332378"/>
    <w:rsid w:val="003324DB"/>
    <w:rsid w:val="00332806"/>
    <w:rsid w:val="00332808"/>
    <w:rsid w:val="0033323A"/>
    <w:rsid w:val="00333B59"/>
    <w:rsid w:val="00333CDF"/>
    <w:rsid w:val="00333EDA"/>
    <w:rsid w:val="00334059"/>
    <w:rsid w:val="00334192"/>
    <w:rsid w:val="00334380"/>
    <w:rsid w:val="00334629"/>
    <w:rsid w:val="00334C55"/>
    <w:rsid w:val="0033537A"/>
    <w:rsid w:val="00335E08"/>
    <w:rsid w:val="0033682D"/>
    <w:rsid w:val="00336CC1"/>
    <w:rsid w:val="003370F5"/>
    <w:rsid w:val="00337A43"/>
    <w:rsid w:val="00337AA5"/>
    <w:rsid w:val="00337B32"/>
    <w:rsid w:val="00337C8A"/>
    <w:rsid w:val="00340297"/>
    <w:rsid w:val="00340A59"/>
    <w:rsid w:val="00340F7B"/>
    <w:rsid w:val="00341CAB"/>
    <w:rsid w:val="00341CE8"/>
    <w:rsid w:val="00341D1C"/>
    <w:rsid w:val="00341DCC"/>
    <w:rsid w:val="0034291E"/>
    <w:rsid w:val="00342984"/>
    <w:rsid w:val="00342B17"/>
    <w:rsid w:val="003431B5"/>
    <w:rsid w:val="00343EAC"/>
    <w:rsid w:val="00344B89"/>
    <w:rsid w:val="003451AD"/>
    <w:rsid w:val="00345BD3"/>
    <w:rsid w:val="00346096"/>
    <w:rsid w:val="003460EE"/>
    <w:rsid w:val="003462FD"/>
    <w:rsid w:val="003464EE"/>
    <w:rsid w:val="00346502"/>
    <w:rsid w:val="0034663E"/>
    <w:rsid w:val="00346CB7"/>
    <w:rsid w:val="00346EEF"/>
    <w:rsid w:val="003470EA"/>
    <w:rsid w:val="003471A6"/>
    <w:rsid w:val="003474CC"/>
    <w:rsid w:val="00347807"/>
    <w:rsid w:val="003502FB"/>
    <w:rsid w:val="00350358"/>
    <w:rsid w:val="0035048D"/>
    <w:rsid w:val="003507BD"/>
    <w:rsid w:val="00350A61"/>
    <w:rsid w:val="00350B4C"/>
    <w:rsid w:val="00351054"/>
    <w:rsid w:val="00351218"/>
    <w:rsid w:val="0035144A"/>
    <w:rsid w:val="0035157B"/>
    <w:rsid w:val="00351CF0"/>
    <w:rsid w:val="00352130"/>
    <w:rsid w:val="00352192"/>
    <w:rsid w:val="003521E2"/>
    <w:rsid w:val="0035249F"/>
    <w:rsid w:val="00352BE3"/>
    <w:rsid w:val="00353322"/>
    <w:rsid w:val="003533E2"/>
    <w:rsid w:val="0035379B"/>
    <w:rsid w:val="00353BAE"/>
    <w:rsid w:val="00354A96"/>
    <w:rsid w:val="00354C6A"/>
    <w:rsid w:val="00354CCB"/>
    <w:rsid w:val="003553A7"/>
    <w:rsid w:val="00355523"/>
    <w:rsid w:val="003555A6"/>
    <w:rsid w:val="00356A3D"/>
    <w:rsid w:val="00357082"/>
    <w:rsid w:val="0035750F"/>
    <w:rsid w:val="003605E2"/>
    <w:rsid w:val="00360AB4"/>
    <w:rsid w:val="00361401"/>
    <w:rsid w:val="0036155F"/>
    <w:rsid w:val="00361744"/>
    <w:rsid w:val="00361768"/>
    <w:rsid w:val="00361C07"/>
    <w:rsid w:val="00361DFE"/>
    <w:rsid w:val="003621F3"/>
    <w:rsid w:val="00362284"/>
    <w:rsid w:val="0036255F"/>
    <w:rsid w:val="003634AB"/>
    <w:rsid w:val="00363619"/>
    <w:rsid w:val="00363630"/>
    <w:rsid w:val="00363BB7"/>
    <w:rsid w:val="00363D69"/>
    <w:rsid w:val="00363E20"/>
    <w:rsid w:val="003640E1"/>
    <w:rsid w:val="00364316"/>
    <w:rsid w:val="003645D3"/>
    <w:rsid w:val="00364D66"/>
    <w:rsid w:val="003652AD"/>
    <w:rsid w:val="003659AF"/>
    <w:rsid w:val="00365DA1"/>
    <w:rsid w:val="00366D05"/>
    <w:rsid w:val="003678C4"/>
    <w:rsid w:val="00367E25"/>
    <w:rsid w:val="00367F2A"/>
    <w:rsid w:val="00367F53"/>
    <w:rsid w:val="00370DA9"/>
    <w:rsid w:val="003710CE"/>
    <w:rsid w:val="00371125"/>
    <w:rsid w:val="003714AB"/>
    <w:rsid w:val="003721A3"/>
    <w:rsid w:val="003721B6"/>
    <w:rsid w:val="00372331"/>
    <w:rsid w:val="00372ACE"/>
    <w:rsid w:val="00372FE5"/>
    <w:rsid w:val="003735D7"/>
    <w:rsid w:val="00373796"/>
    <w:rsid w:val="00373F20"/>
    <w:rsid w:val="003745DE"/>
    <w:rsid w:val="003749FA"/>
    <w:rsid w:val="0037502E"/>
    <w:rsid w:val="003751A8"/>
    <w:rsid w:val="0037534E"/>
    <w:rsid w:val="0037563C"/>
    <w:rsid w:val="00375666"/>
    <w:rsid w:val="00375AAA"/>
    <w:rsid w:val="00375D6F"/>
    <w:rsid w:val="00375F12"/>
    <w:rsid w:val="00376027"/>
    <w:rsid w:val="003760B4"/>
    <w:rsid w:val="003760D2"/>
    <w:rsid w:val="003761CD"/>
    <w:rsid w:val="003761D7"/>
    <w:rsid w:val="00376378"/>
    <w:rsid w:val="00377DFF"/>
    <w:rsid w:val="003802D8"/>
    <w:rsid w:val="003807FC"/>
    <w:rsid w:val="00380818"/>
    <w:rsid w:val="00380F9C"/>
    <w:rsid w:val="0038112D"/>
    <w:rsid w:val="00381258"/>
    <w:rsid w:val="0038131C"/>
    <w:rsid w:val="00381603"/>
    <w:rsid w:val="003817A0"/>
    <w:rsid w:val="00381BC6"/>
    <w:rsid w:val="00382715"/>
    <w:rsid w:val="00382CFB"/>
    <w:rsid w:val="00383379"/>
    <w:rsid w:val="00383AF0"/>
    <w:rsid w:val="00383B4F"/>
    <w:rsid w:val="00383C94"/>
    <w:rsid w:val="00383D74"/>
    <w:rsid w:val="00384896"/>
    <w:rsid w:val="00384EAF"/>
    <w:rsid w:val="0038509F"/>
    <w:rsid w:val="003854C0"/>
    <w:rsid w:val="00385A30"/>
    <w:rsid w:val="00385C69"/>
    <w:rsid w:val="00386325"/>
    <w:rsid w:val="00387466"/>
    <w:rsid w:val="003876E7"/>
    <w:rsid w:val="00387BC4"/>
    <w:rsid w:val="003904E2"/>
    <w:rsid w:val="00390D69"/>
    <w:rsid w:val="00390EB2"/>
    <w:rsid w:val="00390F0A"/>
    <w:rsid w:val="003910AC"/>
    <w:rsid w:val="00391604"/>
    <w:rsid w:val="00391AE1"/>
    <w:rsid w:val="00391E7E"/>
    <w:rsid w:val="003920E1"/>
    <w:rsid w:val="003926F2"/>
    <w:rsid w:val="00392ECB"/>
    <w:rsid w:val="0039386C"/>
    <w:rsid w:val="00393FC1"/>
    <w:rsid w:val="0039465A"/>
    <w:rsid w:val="00394D50"/>
    <w:rsid w:val="003959A0"/>
    <w:rsid w:val="00396C6A"/>
    <w:rsid w:val="00396E39"/>
    <w:rsid w:val="00396F58"/>
    <w:rsid w:val="0039703C"/>
    <w:rsid w:val="0039770A"/>
    <w:rsid w:val="003978B2"/>
    <w:rsid w:val="00397983"/>
    <w:rsid w:val="00397B34"/>
    <w:rsid w:val="003A00CD"/>
    <w:rsid w:val="003A0418"/>
    <w:rsid w:val="003A048D"/>
    <w:rsid w:val="003A04CC"/>
    <w:rsid w:val="003A081F"/>
    <w:rsid w:val="003A0F84"/>
    <w:rsid w:val="003A1228"/>
    <w:rsid w:val="003A1351"/>
    <w:rsid w:val="003A140C"/>
    <w:rsid w:val="003A17AE"/>
    <w:rsid w:val="003A1A17"/>
    <w:rsid w:val="003A1D3F"/>
    <w:rsid w:val="003A1F50"/>
    <w:rsid w:val="003A2831"/>
    <w:rsid w:val="003A2A8C"/>
    <w:rsid w:val="003A2B45"/>
    <w:rsid w:val="003A2F6F"/>
    <w:rsid w:val="003A3157"/>
    <w:rsid w:val="003A3237"/>
    <w:rsid w:val="003A349A"/>
    <w:rsid w:val="003A34D7"/>
    <w:rsid w:val="003A3F12"/>
    <w:rsid w:val="003A42F7"/>
    <w:rsid w:val="003A44E7"/>
    <w:rsid w:val="003A4CF6"/>
    <w:rsid w:val="003A4F83"/>
    <w:rsid w:val="003A51C8"/>
    <w:rsid w:val="003A543C"/>
    <w:rsid w:val="003A5A17"/>
    <w:rsid w:val="003A634C"/>
    <w:rsid w:val="003A6394"/>
    <w:rsid w:val="003A656E"/>
    <w:rsid w:val="003A6A4F"/>
    <w:rsid w:val="003A6B46"/>
    <w:rsid w:val="003A6E71"/>
    <w:rsid w:val="003A6FD1"/>
    <w:rsid w:val="003A760C"/>
    <w:rsid w:val="003B0077"/>
    <w:rsid w:val="003B00B6"/>
    <w:rsid w:val="003B02CF"/>
    <w:rsid w:val="003B04E3"/>
    <w:rsid w:val="003B06D0"/>
    <w:rsid w:val="003B06F3"/>
    <w:rsid w:val="003B0A81"/>
    <w:rsid w:val="003B13BE"/>
    <w:rsid w:val="003B1445"/>
    <w:rsid w:val="003B1B27"/>
    <w:rsid w:val="003B1DC2"/>
    <w:rsid w:val="003B1DCB"/>
    <w:rsid w:val="003B2008"/>
    <w:rsid w:val="003B2208"/>
    <w:rsid w:val="003B222A"/>
    <w:rsid w:val="003B2B9D"/>
    <w:rsid w:val="003B2D01"/>
    <w:rsid w:val="003B2D84"/>
    <w:rsid w:val="003B3089"/>
    <w:rsid w:val="003B31B5"/>
    <w:rsid w:val="003B3460"/>
    <w:rsid w:val="003B3EC7"/>
    <w:rsid w:val="003B4152"/>
    <w:rsid w:val="003B43BC"/>
    <w:rsid w:val="003B45C9"/>
    <w:rsid w:val="003B4E86"/>
    <w:rsid w:val="003B4FBC"/>
    <w:rsid w:val="003B530C"/>
    <w:rsid w:val="003B5F60"/>
    <w:rsid w:val="003B5FD3"/>
    <w:rsid w:val="003B619A"/>
    <w:rsid w:val="003B6206"/>
    <w:rsid w:val="003B69E3"/>
    <w:rsid w:val="003B6A17"/>
    <w:rsid w:val="003B6BD2"/>
    <w:rsid w:val="003B6C5D"/>
    <w:rsid w:val="003B6D59"/>
    <w:rsid w:val="003B6F81"/>
    <w:rsid w:val="003B7CFB"/>
    <w:rsid w:val="003C0614"/>
    <w:rsid w:val="003C0A9F"/>
    <w:rsid w:val="003C0BD2"/>
    <w:rsid w:val="003C0DDF"/>
    <w:rsid w:val="003C1203"/>
    <w:rsid w:val="003C1531"/>
    <w:rsid w:val="003C174C"/>
    <w:rsid w:val="003C1796"/>
    <w:rsid w:val="003C1A7E"/>
    <w:rsid w:val="003C1E17"/>
    <w:rsid w:val="003C1ED5"/>
    <w:rsid w:val="003C215F"/>
    <w:rsid w:val="003C227C"/>
    <w:rsid w:val="003C2B85"/>
    <w:rsid w:val="003C3188"/>
    <w:rsid w:val="003C3700"/>
    <w:rsid w:val="003C38D2"/>
    <w:rsid w:val="003C38EC"/>
    <w:rsid w:val="003C3B73"/>
    <w:rsid w:val="003C3EC1"/>
    <w:rsid w:val="003C4373"/>
    <w:rsid w:val="003C4ED7"/>
    <w:rsid w:val="003C4FE3"/>
    <w:rsid w:val="003C4FF7"/>
    <w:rsid w:val="003C5363"/>
    <w:rsid w:val="003C53A7"/>
    <w:rsid w:val="003C54E5"/>
    <w:rsid w:val="003C5E0F"/>
    <w:rsid w:val="003C6201"/>
    <w:rsid w:val="003C620B"/>
    <w:rsid w:val="003C632F"/>
    <w:rsid w:val="003C68CA"/>
    <w:rsid w:val="003C6B5D"/>
    <w:rsid w:val="003C707B"/>
    <w:rsid w:val="003C7651"/>
    <w:rsid w:val="003C79DB"/>
    <w:rsid w:val="003C7F4D"/>
    <w:rsid w:val="003D00AC"/>
    <w:rsid w:val="003D020D"/>
    <w:rsid w:val="003D02B4"/>
    <w:rsid w:val="003D058E"/>
    <w:rsid w:val="003D0600"/>
    <w:rsid w:val="003D0BF8"/>
    <w:rsid w:val="003D0F20"/>
    <w:rsid w:val="003D0F8F"/>
    <w:rsid w:val="003D0FB6"/>
    <w:rsid w:val="003D10F9"/>
    <w:rsid w:val="003D17D8"/>
    <w:rsid w:val="003D19AB"/>
    <w:rsid w:val="003D1AAA"/>
    <w:rsid w:val="003D1D24"/>
    <w:rsid w:val="003D1DDF"/>
    <w:rsid w:val="003D1E71"/>
    <w:rsid w:val="003D21F1"/>
    <w:rsid w:val="003D2339"/>
    <w:rsid w:val="003D3EFB"/>
    <w:rsid w:val="003D5369"/>
    <w:rsid w:val="003D542C"/>
    <w:rsid w:val="003D56B6"/>
    <w:rsid w:val="003D5726"/>
    <w:rsid w:val="003D573F"/>
    <w:rsid w:val="003D5827"/>
    <w:rsid w:val="003D5B4F"/>
    <w:rsid w:val="003D5C8A"/>
    <w:rsid w:val="003D5E62"/>
    <w:rsid w:val="003D607D"/>
    <w:rsid w:val="003D6195"/>
    <w:rsid w:val="003D6779"/>
    <w:rsid w:val="003D6DE7"/>
    <w:rsid w:val="003D71AD"/>
    <w:rsid w:val="003D74E9"/>
    <w:rsid w:val="003D7914"/>
    <w:rsid w:val="003D7933"/>
    <w:rsid w:val="003D7B1A"/>
    <w:rsid w:val="003D7CF2"/>
    <w:rsid w:val="003E0223"/>
    <w:rsid w:val="003E04DD"/>
    <w:rsid w:val="003E094A"/>
    <w:rsid w:val="003E0CC7"/>
    <w:rsid w:val="003E1519"/>
    <w:rsid w:val="003E1781"/>
    <w:rsid w:val="003E17AD"/>
    <w:rsid w:val="003E1843"/>
    <w:rsid w:val="003E18CB"/>
    <w:rsid w:val="003E1DD4"/>
    <w:rsid w:val="003E275B"/>
    <w:rsid w:val="003E2941"/>
    <w:rsid w:val="003E2D53"/>
    <w:rsid w:val="003E35A5"/>
    <w:rsid w:val="003E3732"/>
    <w:rsid w:val="003E375F"/>
    <w:rsid w:val="003E39CF"/>
    <w:rsid w:val="003E42E9"/>
    <w:rsid w:val="003E43C1"/>
    <w:rsid w:val="003E45DD"/>
    <w:rsid w:val="003E4AFE"/>
    <w:rsid w:val="003E4EF7"/>
    <w:rsid w:val="003E5150"/>
    <w:rsid w:val="003E5177"/>
    <w:rsid w:val="003E5656"/>
    <w:rsid w:val="003E570A"/>
    <w:rsid w:val="003E5746"/>
    <w:rsid w:val="003E5887"/>
    <w:rsid w:val="003E5AE9"/>
    <w:rsid w:val="003E62FC"/>
    <w:rsid w:val="003E67BD"/>
    <w:rsid w:val="003E6950"/>
    <w:rsid w:val="003E7479"/>
    <w:rsid w:val="003E7664"/>
    <w:rsid w:val="003E7955"/>
    <w:rsid w:val="003F020A"/>
    <w:rsid w:val="003F0491"/>
    <w:rsid w:val="003F06B3"/>
    <w:rsid w:val="003F08C2"/>
    <w:rsid w:val="003F0F16"/>
    <w:rsid w:val="003F1076"/>
    <w:rsid w:val="003F11EA"/>
    <w:rsid w:val="003F1500"/>
    <w:rsid w:val="003F1653"/>
    <w:rsid w:val="003F176A"/>
    <w:rsid w:val="003F18DA"/>
    <w:rsid w:val="003F2064"/>
    <w:rsid w:val="003F21F6"/>
    <w:rsid w:val="003F26F4"/>
    <w:rsid w:val="003F2CFF"/>
    <w:rsid w:val="003F30FB"/>
    <w:rsid w:val="003F322B"/>
    <w:rsid w:val="003F3908"/>
    <w:rsid w:val="003F39BE"/>
    <w:rsid w:val="003F39CE"/>
    <w:rsid w:val="003F3BB5"/>
    <w:rsid w:val="003F42DA"/>
    <w:rsid w:val="003F48F6"/>
    <w:rsid w:val="003F4AAA"/>
    <w:rsid w:val="003F4F0E"/>
    <w:rsid w:val="003F54A7"/>
    <w:rsid w:val="003F6042"/>
    <w:rsid w:val="003F6158"/>
    <w:rsid w:val="003F642A"/>
    <w:rsid w:val="003F682C"/>
    <w:rsid w:val="003F6E00"/>
    <w:rsid w:val="003F74CC"/>
    <w:rsid w:val="003F7CAA"/>
    <w:rsid w:val="003F7CD3"/>
    <w:rsid w:val="0040045D"/>
    <w:rsid w:val="004004EC"/>
    <w:rsid w:val="00400BEE"/>
    <w:rsid w:val="004012C0"/>
    <w:rsid w:val="004012D2"/>
    <w:rsid w:val="004013BC"/>
    <w:rsid w:val="00401480"/>
    <w:rsid w:val="00401A3F"/>
    <w:rsid w:val="00401D92"/>
    <w:rsid w:val="00401FF8"/>
    <w:rsid w:val="0040232F"/>
    <w:rsid w:val="00402AA3"/>
    <w:rsid w:val="00402B1D"/>
    <w:rsid w:val="004032F1"/>
    <w:rsid w:val="004034E4"/>
    <w:rsid w:val="00403BB1"/>
    <w:rsid w:val="0040408E"/>
    <w:rsid w:val="00404639"/>
    <w:rsid w:val="004046F4"/>
    <w:rsid w:val="00404DDF"/>
    <w:rsid w:val="004053F8"/>
    <w:rsid w:val="00405618"/>
    <w:rsid w:val="00405822"/>
    <w:rsid w:val="00405852"/>
    <w:rsid w:val="00405B44"/>
    <w:rsid w:val="0040613F"/>
    <w:rsid w:val="0040618F"/>
    <w:rsid w:val="00406342"/>
    <w:rsid w:val="004063DA"/>
    <w:rsid w:val="00406B0A"/>
    <w:rsid w:val="00406EDE"/>
    <w:rsid w:val="00407171"/>
    <w:rsid w:val="00407CD4"/>
    <w:rsid w:val="00410C61"/>
    <w:rsid w:val="00410FAD"/>
    <w:rsid w:val="00411223"/>
    <w:rsid w:val="004117AA"/>
    <w:rsid w:val="00411C83"/>
    <w:rsid w:val="00411C93"/>
    <w:rsid w:val="00411E60"/>
    <w:rsid w:val="004120D1"/>
    <w:rsid w:val="0041245B"/>
    <w:rsid w:val="00412598"/>
    <w:rsid w:val="004125E5"/>
    <w:rsid w:val="0041291B"/>
    <w:rsid w:val="00412D24"/>
    <w:rsid w:val="00413559"/>
    <w:rsid w:val="0041363C"/>
    <w:rsid w:val="00413D03"/>
    <w:rsid w:val="00414359"/>
    <w:rsid w:val="004145B1"/>
    <w:rsid w:val="004148FF"/>
    <w:rsid w:val="00414B9D"/>
    <w:rsid w:val="00414D62"/>
    <w:rsid w:val="00415061"/>
    <w:rsid w:val="00415241"/>
    <w:rsid w:val="00415494"/>
    <w:rsid w:val="00415A87"/>
    <w:rsid w:val="00416068"/>
    <w:rsid w:val="00416157"/>
    <w:rsid w:val="004161E9"/>
    <w:rsid w:val="004162C9"/>
    <w:rsid w:val="00416325"/>
    <w:rsid w:val="004169F8"/>
    <w:rsid w:val="004177D9"/>
    <w:rsid w:val="00417900"/>
    <w:rsid w:val="00417BDD"/>
    <w:rsid w:val="00417C00"/>
    <w:rsid w:val="0042007F"/>
    <w:rsid w:val="00420384"/>
    <w:rsid w:val="0042044C"/>
    <w:rsid w:val="004206B4"/>
    <w:rsid w:val="00420747"/>
    <w:rsid w:val="00421134"/>
    <w:rsid w:val="0042241E"/>
    <w:rsid w:val="0042281A"/>
    <w:rsid w:val="00422A1D"/>
    <w:rsid w:val="00423132"/>
    <w:rsid w:val="00423320"/>
    <w:rsid w:val="0042357B"/>
    <w:rsid w:val="00423FA2"/>
    <w:rsid w:val="0042480A"/>
    <w:rsid w:val="00425204"/>
    <w:rsid w:val="0042545F"/>
    <w:rsid w:val="004259A4"/>
    <w:rsid w:val="0042613E"/>
    <w:rsid w:val="0042668E"/>
    <w:rsid w:val="00426D0F"/>
    <w:rsid w:val="0042707F"/>
    <w:rsid w:val="0042739F"/>
    <w:rsid w:val="0042786C"/>
    <w:rsid w:val="00427EC4"/>
    <w:rsid w:val="004303DB"/>
    <w:rsid w:val="00430F56"/>
    <w:rsid w:val="00431008"/>
    <w:rsid w:val="004310AF"/>
    <w:rsid w:val="0043131A"/>
    <w:rsid w:val="0043198E"/>
    <w:rsid w:val="0043255F"/>
    <w:rsid w:val="0043265F"/>
    <w:rsid w:val="00432734"/>
    <w:rsid w:val="0043289F"/>
    <w:rsid w:val="004328EA"/>
    <w:rsid w:val="00432BC1"/>
    <w:rsid w:val="00432C69"/>
    <w:rsid w:val="00432DC7"/>
    <w:rsid w:val="00432DDD"/>
    <w:rsid w:val="00433002"/>
    <w:rsid w:val="0043301F"/>
    <w:rsid w:val="004330F1"/>
    <w:rsid w:val="00433358"/>
    <w:rsid w:val="00433448"/>
    <w:rsid w:val="004346B4"/>
    <w:rsid w:val="004348B3"/>
    <w:rsid w:val="00434BC3"/>
    <w:rsid w:val="00434FFB"/>
    <w:rsid w:val="00435527"/>
    <w:rsid w:val="004356B4"/>
    <w:rsid w:val="00435AD5"/>
    <w:rsid w:val="00435F92"/>
    <w:rsid w:val="004361BB"/>
    <w:rsid w:val="00436369"/>
    <w:rsid w:val="00436490"/>
    <w:rsid w:val="00436AF6"/>
    <w:rsid w:val="00436EBB"/>
    <w:rsid w:val="0043703E"/>
    <w:rsid w:val="00437151"/>
    <w:rsid w:val="00437231"/>
    <w:rsid w:val="00437499"/>
    <w:rsid w:val="00437877"/>
    <w:rsid w:val="00437BF3"/>
    <w:rsid w:val="00437CD6"/>
    <w:rsid w:val="00440C5D"/>
    <w:rsid w:val="00440C9C"/>
    <w:rsid w:val="00440D15"/>
    <w:rsid w:val="00440F29"/>
    <w:rsid w:val="00441432"/>
    <w:rsid w:val="004419BC"/>
    <w:rsid w:val="00441ABA"/>
    <w:rsid w:val="00441C51"/>
    <w:rsid w:val="00441CDB"/>
    <w:rsid w:val="0044244C"/>
    <w:rsid w:val="004426F3"/>
    <w:rsid w:val="00442A38"/>
    <w:rsid w:val="00442FD6"/>
    <w:rsid w:val="00443C2C"/>
    <w:rsid w:val="004444A1"/>
    <w:rsid w:val="00444FAC"/>
    <w:rsid w:val="004451E9"/>
    <w:rsid w:val="00445B75"/>
    <w:rsid w:val="0044613D"/>
    <w:rsid w:val="00446E22"/>
    <w:rsid w:val="0045008A"/>
    <w:rsid w:val="0045017B"/>
    <w:rsid w:val="0045154A"/>
    <w:rsid w:val="00451835"/>
    <w:rsid w:val="004520AF"/>
    <w:rsid w:val="004527EE"/>
    <w:rsid w:val="004527F1"/>
    <w:rsid w:val="004528D2"/>
    <w:rsid w:val="00452CD1"/>
    <w:rsid w:val="00453129"/>
    <w:rsid w:val="0045399B"/>
    <w:rsid w:val="00453A3C"/>
    <w:rsid w:val="0045403A"/>
    <w:rsid w:val="00454AEB"/>
    <w:rsid w:val="00454C16"/>
    <w:rsid w:val="00456216"/>
    <w:rsid w:val="00456EA5"/>
    <w:rsid w:val="004578C6"/>
    <w:rsid w:val="00457AC0"/>
    <w:rsid w:val="00457CD0"/>
    <w:rsid w:val="00460199"/>
    <w:rsid w:val="00460301"/>
    <w:rsid w:val="004606FA"/>
    <w:rsid w:val="00460F89"/>
    <w:rsid w:val="00461182"/>
    <w:rsid w:val="004612C0"/>
    <w:rsid w:val="00461354"/>
    <w:rsid w:val="0046154A"/>
    <w:rsid w:val="00461769"/>
    <w:rsid w:val="00461C36"/>
    <w:rsid w:val="00462694"/>
    <w:rsid w:val="004628CE"/>
    <w:rsid w:val="00462A25"/>
    <w:rsid w:val="00462C4A"/>
    <w:rsid w:val="00462DA4"/>
    <w:rsid w:val="00462DB4"/>
    <w:rsid w:val="00463BF6"/>
    <w:rsid w:val="00463C29"/>
    <w:rsid w:val="00463FEB"/>
    <w:rsid w:val="00464E2F"/>
    <w:rsid w:val="00465270"/>
    <w:rsid w:val="00465873"/>
    <w:rsid w:val="004658F3"/>
    <w:rsid w:val="00465B31"/>
    <w:rsid w:val="00465DC3"/>
    <w:rsid w:val="00465E52"/>
    <w:rsid w:val="00466D89"/>
    <w:rsid w:val="00466F18"/>
    <w:rsid w:val="004675A7"/>
    <w:rsid w:val="00467DA7"/>
    <w:rsid w:val="004701A2"/>
    <w:rsid w:val="0047029F"/>
    <w:rsid w:val="0047055F"/>
    <w:rsid w:val="004705E7"/>
    <w:rsid w:val="00470610"/>
    <w:rsid w:val="00470C7B"/>
    <w:rsid w:val="00471777"/>
    <w:rsid w:val="00471E57"/>
    <w:rsid w:val="00471EFF"/>
    <w:rsid w:val="00472273"/>
    <w:rsid w:val="0047277E"/>
    <w:rsid w:val="0047278E"/>
    <w:rsid w:val="00472838"/>
    <w:rsid w:val="00472879"/>
    <w:rsid w:val="00472B60"/>
    <w:rsid w:val="00472CD5"/>
    <w:rsid w:val="00473798"/>
    <w:rsid w:val="00473A12"/>
    <w:rsid w:val="00473E39"/>
    <w:rsid w:val="00473FAE"/>
    <w:rsid w:val="00474312"/>
    <w:rsid w:val="004747C0"/>
    <w:rsid w:val="00474E64"/>
    <w:rsid w:val="00474F67"/>
    <w:rsid w:val="004751B7"/>
    <w:rsid w:val="00475505"/>
    <w:rsid w:val="00475C64"/>
    <w:rsid w:val="00475D11"/>
    <w:rsid w:val="00475D65"/>
    <w:rsid w:val="00475EBE"/>
    <w:rsid w:val="0047608E"/>
    <w:rsid w:val="00476759"/>
    <w:rsid w:val="004769BA"/>
    <w:rsid w:val="0047700B"/>
    <w:rsid w:val="0047708E"/>
    <w:rsid w:val="0047765F"/>
    <w:rsid w:val="00477834"/>
    <w:rsid w:val="00477925"/>
    <w:rsid w:val="00477D01"/>
    <w:rsid w:val="004800DD"/>
    <w:rsid w:val="004805EC"/>
    <w:rsid w:val="0048092A"/>
    <w:rsid w:val="00480F0D"/>
    <w:rsid w:val="0048106F"/>
    <w:rsid w:val="0048140F"/>
    <w:rsid w:val="0048226B"/>
    <w:rsid w:val="00482814"/>
    <w:rsid w:val="0048317F"/>
    <w:rsid w:val="00483336"/>
    <w:rsid w:val="00483384"/>
    <w:rsid w:val="004837DD"/>
    <w:rsid w:val="004842E4"/>
    <w:rsid w:val="004846E1"/>
    <w:rsid w:val="00484D5B"/>
    <w:rsid w:val="00485FF8"/>
    <w:rsid w:val="004867D8"/>
    <w:rsid w:val="004867DF"/>
    <w:rsid w:val="00486BB8"/>
    <w:rsid w:val="004871D0"/>
    <w:rsid w:val="00487231"/>
    <w:rsid w:val="00487B1B"/>
    <w:rsid w:val="00487B3F"/>
    <w:rsid w:val="00490201"/>
    <w:rsid w:val="004909AD"/>
    <w:rsid w:val="0049117A"/>
    <w:rsid w:val="004917F8"/>
    <w:rsid w:val="00492193"/>
    <w:rsid w:val="004921B2"/>
    <w:rsid w:val="00492541"/>
    <w:rsid w:val="004947DB"/>
    <w:rsid w:val="00494896"/>
    <w:rsid w:val="00494D56"/>
    <w:rsid w:val="00494F91"/>
    <w:rsid w:val="004951A6"/>
    <w:rsid w:val="004952BE"/>
    <w:rsid w:val="00495D1C"/>
    <w:rsid w:val="00495DFC"/>
    <w:rsid w:val="00495EB5"/>
    <w:rsid w:val="00496118"/>
    <w:rsid w:val="0049648D"/>
    <w:rsid w:val="0049666F"/>
    <w:rsid w:val="00496A6C"/>
    <w:rsid w:val="00496AED"/>
    <w:rsid w:val="00496B6D"/>
    <w:rsid w:val="00496DDA"/>
    <w:rsid w:val="00496E0C"/>
    <w:rsid w:val="00496FEE"/>
    <w:rsid w:val="004971AD"/>
    <w:rsid w:val="0049755D"/>
    <w:rsid w:val="00497CF3"/>
    <w:rsid w:val="00497D89"/>
    <w:rsid w:val="00497EA7"/>
    <w:rsid w:val="004A00B6"/>
    <w:rsid w:val="004A02C6"/>
    <w:rsid w:val="004A08D8"/>
    <w:rsid w:val="004A08F6"/>
    <w:rsid w:val="004A0DC1"/>
    <w:rsid w:val="004A0E56"/>
    <w:rsid w:val="004A217A"/>
    <w:rsid w:val="004A25DD"/>
    <w:rsid w:val="004A2653"/>
    <w:rsid w:val="004A28FE"/>
    <w:rsid w:val="004A2CAE"/>
    <w:rsid w:val="004A2CB1"/>
    <w:rsid w:val="004A3E4A"/>
    <w:rsid w:val="004A3F28"/>
    <w:rsid w:val="004A3F65"/>
    <w:rsid w:val="004A4187"/>
    <w:rsid w:val="004A419C"/>
    <w:rsid w:val="004A421F"/>
    <w:rsid w:val="004A46FD"/>
    <w:rsid w:val="004A47DC"/>
    <w:rsid w:val="004A4A15"/>
    <w:rsid w:val="004A4B09"/>
    <w:rsid w:val="004A511A"/>
    <w:rsid w:val="004A5498"/>
    <w:rsid w:val="004A62C2"/>
    <w:rsid w:val="004A6991"/>
    <w:rsid w:val="004A6A5D"/>
    <w:rsid w:val="004A6B86"/>
    <w:rsid w:val="004A6DB1"/>
    <w:rsid w:val="004A759E"/>
    <w:rsid w:val="004A7884"/>
    <w:rsid w:val="004A79E6"/>
    <w:rsid w:val="004B1435"/>
    <w:rsid w:val="004B1CC9"/>
    <w:rsid w:val="004B1F25"/>
    <w:rsid w:val="004B2378"/>
    <w:rsid w:val="004B2B43"/>
    <w:rsid w:val="004B3351"/>
    <w:rsid w:val="004B38AB"/>
    <w:rsid w:val="004B38DF"/>
    <w:rsid w:val="004B45FA"/>
    <w:rsid w:val="004B47AD"/>
    <w:rsid w:val="004B49FD"/>
    <w:rsid w:val="004B5017"/>
    <w:rsid w:val="004B50AD"/>
    <w:rsid w:val="004B50CA"/>
    <w:rsid w:val="004B589A"/>
    <w:rsid w:val="004B5915"/>
    <w:rsid w:val="004B5F07"/>
    <w:rsid w:val="004B5FF9"/>
    <w:rsid w:val="004B603C"/>
    <w:rsid w:val="004B6321"/>
    <w:rsid w:val="004B638C"/>
    <w:rsid w:val="004B6F1C"/>
    <w:rsid w:val="004B724C"/>
    <w:rsid w:val="004B7886"/>
    <w:rsid w:val="004B7993"/>
    <w:rsid w:val="004B7B12"/>
    <w:rsid w:val="004B7B61"/>
    <w:rsid w:val="004B7E39"/>
    <w:rsid w:val="004C04A2"/>
    <w:rsid w:val="004C100E"/>
    <w:rsid w:val="004C21F6"/>
    <w:rsid w:val="004C2B76"/>
    <w:rsid w:val="004C3419"/>
    <w:rsid w:val="004C362A"/>
    <w:rsid w:val="004C4262"/>
    <w:rsid w:val="004C47BC"/>
    <w:rsid w:val="004C5C07"/>
    <w:rsid w:val="004C5F0E"/>
    <w:rsid w:val="004C63B9"/>
    <w:rsid w:val="004C688D"/>
    <w:rsid w:val="004C6D2E"/>
    <w:rsid w:val="004C7FF3"/>
    <w:rsid w:val="004D04FA"/>
    <w:rsid w:val="004D0A64"/>
    <w:rsid w:val="004D0D54"/>
    <w:rsid w:val="004D0F38"/>
    <w:rsid w:val="004D11B9"/>
    <w:rsid w:val="004D17EB"/>
    <w:rsid w:val="004D18BF"/>
    <w:rsid w:val="004D1A18"/>
    <w:rsid w:val="004D1B5F"/>
    <w:rsid w:val="004D1D26"/>
    <w:rsid w:val="004D2343"/>
    <w:rsid w:val="004D24BE"/>
    <w:rsid w:val="004D2602"/>
    <w:rsid w:val="004D2DBB"/>
    <w:rsid w:val="004D2E9C"/>
    <w:rsid w:val="004D339E"/>
    <w:rsid w:val="004D3A90"/>
    <w:rsid w:val="004D4BF2"/>
    <w:rsid w:val="004D52E0"/>
    <w:rsid w:val="004D563F"/>
    <w:rsid w:val="004D5A96"/>
    <w:rsid w:val="004D5BE3"/>
    <w:rsid w:val="004D641F"/>
    <w:rsid w:val="004D77AB"/>
    <w:rsid w:val="004D78FC"/>
    <w:rsid w:val="004D7BA7"/>
    <w:rsid w:val="004E0065"/>
    <w:rsid w:val="004E0134"/>
    <w:rsid w:val="004E093F"/>
    <w:rsid w:val="004E0945"/>
    <w:rsid w:val="004E0B59"/>
    <w:rsid w:val="004E0D76"/>
    <w:rsid w:val="004E0FFC"/>
    <w:rsid w:val="004E1627"/>
    <w:rsid w:val="004E197E"/>
    <w:rsid w:val="004E1BAF"/>
    <w:rsid w:val="004E1D4B"/>
    <w:rsid w:val="004E1F3C"/>
    <w:rsid w:val="004E20A6"/>
    <w:rsid w:val="004E26A7"/>
    <w:rsid w:val="004E2773"/>
    <w:rsid w:val="004E2957"/>
    <w:rsid w:val="004E3152"/>
    <w:rsid w:val="004E3BFC"/>
    <w:rsid w:val="004E464A"/>
    <w:rsid w:val="004E4717"/>
    <w:rsid w:val="004E5CF2"/>
    <w:rsid w:val="004E6B52"/>
    <w:rsid w:val="004E7277"/>
    <w:rsid w:val="004E79B3"/>
    <w:rsid w:val="004E7CF6"/>
    <w:rsid w:val="004E7D00"/>
    <w:rsid w:val="004E7E39"/>
    <w:rsid w:val="004F06CC"/>
    <w:rsid w:val="004F080C"/>
    <w:rsid w:val="004F11E3"/>
    <w:rsid w:val="004F14E2"/>
    <w:rsid w:val="004F153A"/>
    <w:rsid w:val="004F161A"/>
    <w:rsid w:val="004F1F6D"/>
    <w:rsid w:val="004F21AC"/>
    <w:rsid w:val="004F2354"/>
    <w:rsid w:val="004F26BA"/>
    <w:rsid w:val="004F2954"/>
    <w:rsid w:val="004F3158"/>
    <w:rsid w:val="004F3249"/>
    <w:rsid w:val="004F3264"/>
    <w:rsid w:val="004F357F"/>
    <w:rsid w:val="004F3832"/>
    <w:rsid w:val="004F3977"/>
    <w:rsid w:val="004F3A38"/>
    <w:rsid w:val="004F3E1A"/>
    <w:rsid w:val="004F4720"/>
    <w:rsid w:val="004F4C67"/>
    <w:rsid w:val="004F4EB7"/>
    <w:rsid w:val="004F5302"/>
    <w:rsid w:val="004F55BB"/>
    <w:rsid w:val="004F5A62"/>
    <w:rsid w:val="004F6002"/>
    <w:rsid w:val="004F6DF9"/>
    <w:rsid w:val="004F6F7B"/>
    <w:rsid w:val="004F735F"/>
    <w:rsid w:val="0050045A"/>
    <w:rsid w:val="00500DD7"/>
    <w:rsid w:val="00501691"/>
    <w:rsid w:val="00501A6E"/>
    <w:rsid w:val="00501FB1"/>
    <w:rsid w:val="005020C4"/>
    <w:rsid w:val="00502231"/>
    <w:rsid w:val="0050240D"/>
    <w:rsid w:val="0050277F"/>
    <w:rsid w:val="00502D82"/>
    <w:rsid w:val="00502F1D"/>
    <w:rsid w:val="0050329A"/>
    <w:rsid w:val="00503FC3"/>
    <w:rsid w:val="00504511"/>
    <w:rsid w:val="00504F5A"/>
    <w:rsid w:val="00505037"/>
    <w:rsid w:val="00505816"/>
    <w:rsid w:val="005059CB"/>
    <w:rsid w:val="00505BD4"/>
    <w:rsid w:val="00505EC3"/>
    <w:rsid w:val="00505FBD"/>
    <w:rsid w:val="005071BC"/>
    <w:rsid w:val="005075B3"/>
    <w:rsid w:val="005079E9"/>
    <w:rsid w:val="00507AC8"/>
    <w:rsid w:val="00507DE7"/>
    <w:rsid w:val="00507E6B"/>
    <w:rsid w:val="00511529"/>
    <w:rsid w:val="005119C7"/>
    <w:rsid w:val="0051217C"/>
    <w:rsid w:val="005122B1"/>
    <w:rsid w:val="00512384"/>
    <w:rsid w:val="00512D00"/>
    <w:rsid w:val="00512D7D"/>
    <w:rsid w:val="0051303E"/>
    <w:rsid w:val="00513814"/>
    <w:rsid w:val="00513BA7"/>
    <w:rsid w:val="005145D5"/>
    <w:rsid w:val="00514AFE"/>
    <w:rsid w:val="00514C69"/>
    <w:rsid w:val="005157F4"/>
    <w:rsid w:val="005159D5"/>
    <w:rsid w:val="00515B24"/>
    <w:rsid w:val="00515FA0"/>
    <w:rsid w:val="00516002"/>
    <w:rsid w:val="0051626C"/>
    <w:rsid w:val="0051642A"/>
    <w:rsid w:val="005164C9"/>
    <w:rsid w:val="00516661"/>
    <w:rsid w:val="00516F61"/>
    <w:rsid w:val="00516F9F"/>
    <w:rsid w:val="00517259"/>
    <w:rsid w:val="005172C9"/>
    <w:rsid w:val="0051770D"/>
    <w:rsid w:val="00517A3B"/>
    <w:rsid w:val="00517B57"/>
    <w:rsid w:val="00517D59"/>
    <w:rsid w:val="00517D64"/>
    <w:rsid w:val="00517F21"/>
    <w:rsid w:val="005202F3"/>
    <w:rsid w:val="005208F5"/>
    <w:rsid w:val="00521386"/>
    <w:rsid w:val="00521C46"/>
    <w:rsid w:val="00522888"/>
    <w:rsid w:val="00522B3B"/>
    <w:rsid w:val="00522E9D"/>
    <w:rsid w:val="0052332D"/>
    <w:rsid w:val="005233F7"/>
    <w:rsid w:val="00523445"/>
    <w:rsid w:val="00523478"/>
    <w:rsid w:val="00523552"/>
    <w:rsid w:val="00523DE4"/>
    <w:rsid w:val="00524529"/>
    <w:rsid w:val="00524C80"/>
    <w:rsid w:val="00524CB1"/>
    <w:rsid w:val="00524D80"/>
    <w:rsid w:val="00524F72"/>
    <w:rsid w:val="00525625"/>
    <w:rsid w:val="00525E4F"/>
    <w:rsid w:val="00526161"/>
    <w:rsid w:val="00526B9B"/>
    <w:rsid w:val="00526D41"/>
    <w:rsid w:val="00527BFF"/>
    <w:rsid w:val="00527DDB"/>
    <w:rsid w:val="00527E40"/>
    <w:rsid w:val="00530086"/>
    <w:rsid w:val="005301B7"/>
    <w:rsid w:val="00530E00"/>
    <w:rsid w:val="00531271"/>
    <w:rsid w:val="0053128C"/>
    <w:rsid w:val="005312BF"/>
    <w:rsid w:val="00531370"/>
    <w:rsid w:val="00531A0F"/>
    <w:rsid w:val="005327E8"/>
    <w:rsid w:val="00532D9E"/>
    <w:rsid w:val="00532E52"/>
    <w:rsid w:val="00534361"/>
    <w:rsid w:val="005345F0"/>
    <w:rsid w:val="005345F7"/>
    <w:rsid w:val="00534677"/>
    <w:rsid w:val="00534706"/>
    <w:rsid w:val="005348E3"/>
    <w:rsid w:val="00534E2A"/>
    <w:rsid w:val="00534F1A"/>
    <w:rsid w:val="00535093"/>
    <w:rsid w:val="0053515D"/>
    <w:rsid w:val="00535B9D"/>
    <w:rsid w:val="0053603A"/>
    <w:rsid w:val="0053617D"/>
    <w:rsid w:val="005362AB"/>
    <w:rsid w:val="005369A8"/>
    <w:rsid w:val="00536F9E"/>
    <w:rsid w:val="0053736F"/>
    <w:rsid w:val="00537F30"/>
    <w:rsid w:val="00540183"/>
    <w:rsid w:val="005404EA"/>
    <w:rsid w:val="00540519"/>
    <w:rsid w:val="0054056F"/>
    <w:rsid w:val="00540D8A"/>
    <w:rsid w:val="00541463"/>
    <w:rsid w:val="005416F5"/>
    <w:rsid w:val="005427AE"/>
    <w:rsid w:val="005428FD"/>
    <w:rsid w:val="00542D20"/>
    <w:rsid w:val="00542D65"/>
    <w:rsid w:val="005434FA"/>
    <w:rsid w:val="00543547"/>
    <w:rsid w:val="00543B34"/>
    <w:rsid w:val="00544140"/>
    <w:rsid w:val="005441A2"/>
    <w:rsid w:val="00544329"/>
    <w:rsid w:val="005446AE"/>
    <w:rsid w:val="0054478B"/>
    <w:rsid w:val="005447FC"/>
    <w:rsid w:val="00544B41"/>
    <w:rsid w:val="00544B72"/>
    <w:rsid w:val="00545EFE"/>
    <w:rsid w:val="0054607D"/>
    <w:rsid w:val="0054623C"/>
    <w:rsid w:val="0054682D"/>
    <w:rsid w:val="00546FB3"/>
    <w:rsid w:val="0055002A"/>
    <w:rsid w:val="005504CA"/>
    <w:rsid w:val="0055095B"/>
    <w:rsid w:val="00550B8B"/>
    <w:rsid w:val="00550BB4"/>
    <w:rsid w:val="00550D15"/>
    <w:rsid w:val="00550EF2"/>
    <w:rsid w:val="00550F33"/>
    <w:rsid w:val="00550FEA"/>
    <w:rsid w:val="00551701"/>
    <w:rsid w:val="005518A2"/>
    <w:rsid w:val="00551B9C"/>
    <w:rsid w:val="005524D5"/>
    <w:rsid w:val="00552985"/>
    <w:rsid w:val="00552C8F"/>
    <w:rsid w:val="00552EF8"/>
    <w:rsid w:val="00553989"/>
    <w:rsid w:val="00553DD2"/>
    <w:rsid w:val="005547E0"/>
    <w:rsid w:val="00554B20"/>
    <w:rsid w:val="00556326"/>
    <w:rsid w:val="005563CF"/>
    <w:rsid w:val="005564C5"/>
    <w:rsid w:val="0055713B"/>
    <w:rsid w:val="0055776C"/>
    <w:rsid w:val="00557832"/>
    <w:rsid w:val="00557FAB"/>
    <w:rsid w:val="00560148"/>
    <w:rsid w:val="005601A7"/>
    <w:rsid w:val="005602D0"/>
    <w:rsid w:val="005607EE"/>
    <w:rsid w:val="00560C03"/>
    <w:rsid w:val="0056148C"/>
    <w:rsid w:val="00561E73"/>
    <w:rsid w:val="00562126"/>
    <w:rsid w:val="00562756"/>
    <w:rsid w:val="00562ACA"/>
    <w:rsid w:val="00562B14"/>
    <w:rsid w:val="0056348B"/>
    <w:rsid w:val="00563D1E"/>
    <w:rsid w:val="00563E5E"/>
    <w:rsid w:val="00563EFB"/>
    <w:rsid w:val="00563F83"/>
    <w:rsid w:val="00564074"/>
    <w:rsid w:val="0056460E"/>
    <w:rsid w:val="0056491D"/>
    <w:rsid w:val="00564EDB"/>
    <w:rsid w:val="00565172"/>
    <w:rsid w:val="00565F7E"/>
    <w:rsid w:val="0056647C"/>
    <w:rsid w:val="005666AC"/>
    <w:rsid w:val="00566CA2"/>
    <w:rsid w:val="005670D1"/>
    <w:rsid w:val="00567384"/>
    <w:rsid w:val="0056739C"/>
    <w:rsid w:val="005674C6"/>
    <w:rsid w:val="00567908"/>
    <w:rsid w:val="00567E8A"/>
    <w:rsid w:val="0057001F"/>
    <w:rsid w:val="005700E4"/>
    <w:rsid w:val="00570293"/>
    <w:rsid w:val="00570491"/>
    <w:rsid w:val="00570797"/>
    <w:rsid w:val="00571759"/>
    <w:rsid w:val="0057182A"/>
    <w:rsid w:val="00571A1B"/>
    <w:rsid w:val="00571CCF"/>
    <w:rsid w:val="00571DB9"/>
    <w:rsid w:val="00571DD8"/>
    <w:rsid w:val="005722C6"/>
    <w:rsid w:val="00572319"/>
    <w:rsid w:val="00572595"/>
    <w:rsid w:val="0057274F"/>
    <w:rsid w:val="00572C82"/>
    <w:rsid w:val="005730F2"/>
    <w:rsid w:val="0057337A"/>
    <w:rsid w:val="0057365F"/>
    <w:rsid w:val="00573DC9"/>
    <w:rsid w:val="00573E97"/>
    <w:rsid w:val="005741B5"/>
    <w:rsid w:val="005743A6"/>
    <w:rsid w:val="005748AA"/>
    <w:rsid w:val="00574BEB"/>
    <w:rsid w:val="005752B3"/>
    <w:rsid w:val="00575661"/>
    <w:rsid w:val="00575C94"/>
    <w:rsid w:val="00576069"/>
    <w:rsid w:val="00576116"/>
    <w:rsid w:val="00577003"/>
    <w:rsid w:val="005800DE"/>
    <w:rsid w:val="00580BA4"/>
    <w:rsid w:val="00580CB1"/>
    <w:rsid w:val="0058102C"/>
    <w:rsid w:val="00581C34"/>
    <w:rsid w:val="0058214F"/>
    <w:rsid w:val="005825FB"/>
    <w:rsid w:val="00583974"/>
    <w:rsid w:val="00583989"/>
    <w:rsid w:val="00583C48"/>
    <w:rsid w:val="00585122"/>
    <w:rsid w:val="005852B7"/>
    <w:rsid w:val="005859CB"/>
    <w:rsid w:val="00585E8F"/>
    <w:rsid w:val="005861B4"/>
    <w:rsid w:val="00586E14"/>
    <w:rsid w:val="00587023"/>
    <w:rsid w:val="00587405"/>
    <w:rsid w:val="005878A3"/>
    <w:rsid w:val="00590593"/>
    <w:rsid w:val="00590782"/>
    <w:rsid w:val="00590E12"/>
    <w:rsid w:val="00590F06"/>
    <w:rsid w:val="00590FC0"/>
    <w:rsid w:val="0059205F"/>
    <w:rsid w:val="0059229E"/>
    <w:rsid w:val="005923AA"/>
    <w:rsid w:val="005924AD"/>
    <w:rsid w:val="00592A2C"/>
    <w:rsid w:val="00592DD0"/>
    <w:rsid w:val="005931A3"/>
    <w:rsid w:val="0059405A"/>
    <w:rsid w:val="0059498C"/>
    <w:rsid w:val="00594DE8"/>
    <w:rsid w:val="00594F91"/>
    <w:rsid w:val="005952C2"/>
    <w:rsid w:val="00595E2E"/>
    <w:rsid w:val="005960C4"/>
    <w:rsid w:val="00596138"/>
    <w:rsid w:val="0059645C"/>
    <w:rsid w:val="00596678"/>
    <w:rsid w:val="00596928"/>
    <w:rsid w:val="0059724F"/>
    <w:rsid w:val="005975CA"/>
    <w:rsid w:val="00597C31"/>
    <w:rsid w:val="00597DB7"/>
    <w:rsid w:val="005A04F0"/>
    <w:rsid w:val="005A06B8"/>
    <w:rsid w:val="005A0C39"/>
    <w:rsid w:val="005A0C6F"/>
    <w:rsid w:val="005A1069"/>
    <w:rsid w:val="005A12FE"/>
    <w:rsid w:val="005A14BE"/>
    <w:rsid w:val="005A1CFD"/>
    <w:rsid w:val="005A2A1C"/>
    <w:rsid w:val="005A2B1F"/>
    <w:rsid w:val="005A30C4"/>
    <w:rsid w:val="005A30E0"/>
    <w:rsid w:val="005A32F8"/>
    <w:rsid w:val="005A3FD1"/>
    <w:rsid w:val="005A41F4"/>
    <w:rsid w:val="005A42D8"/>
    <w:rsid w:val="005A45AD"/>
    <w:rsid w:val="005A4660"/>
    <w:rsid w:val="005A4769"/>
    <w:rsid w:val="005A574A"/>
    <w:rsid w:val="005A5F33"/>
    <w:rsid w:val="005A6061"/>
    <w:rsid w:val="005A6239"/>
    <w:rsid w:val="005A6358"/>
    <w:rsid w:val="005A6FBE"/>
    <w:rsid w:val="005A7298"/>
    <w:rsid w:val="005A75C4"/>
    <w:rsid w:val="005A78DF"/>
    <w:rsid w:val="005B0DA4"/>
    <w:rsid w:val="005B1081"/>
    <w:rsid w:val="005B1398"/>
    <w:rsid w:val="005B1C10"/>
    <w:rsid w:val="005B20D1"/>
    <w:rsid w:val="005B2187"/>
    <w:rsid w:val="005B2E3C"/>
    <w:rsid w:val="005B3464"/>
    <w:rsid w:val="005B3B91"/>
    <w:rsid w:val="005B4C8F"/>
    <w:rsid w:val="005B4FBD"/>
    <w:rsid w:val="005B53AC"/>
    <w:rsid w:val="005B57DA"/>
    <w:rsid w:val="005B615B"/>
    <w:rsid w:val="005B666A"/>
    <w:rsid w:val="005B669C"/>
    <w:rsid w:val="005B674F"/>
    <w:rsid w:val="005B6C2E"/>
    <w:rsid w:val="005B6F90"/>
    <w:rsid w:val="005B6FB5"/>
    <w:rsid w:val="005B6FDA"/>
    <w:rsid w:val="005B73DE"/>
    <w:rsid w:val="005B744B"/>
    <w:rsid w:val="005B74D5"/>
    <w:rsid w:val="005B7A70"/>
    <w:rsid w:val="005B7C5C"/>
    <w:rsid w:val="005B7E19"/>
    <w:rsid w:val="005C0382"/>
    <w:rsid w:val="005C053E"/>
    <w:rsid w:val="005C0F26"/>
    <w:rsid w:val="005C0FB3"/>
    <w:rsid w:val="005C0FCE"/>
    <w:rsid w:val="005C1149"/>
    <w:rsid w:val="005C1153"/>
    <w:rsid w:val="005C115E"/>
    <w:rsid w:val="005C11AE"/>
    <w:rsid w:val="005C153F"/>
    <w:rsid w:val="005C1674"/>
    <w:rsid w:val="005C1690"/>
    <w:rsid w:val="005C19F4"/>
    <w:rsid w:val="005C23AB"/>
    <w:rsid w:val="005C2539"/>
    <w:rsid w:val="005C3303"/>
    <w:rsid w:val="005C48C3"/>
    <w:rsid w:val="005C4F82"/>
    <w:rsid w:val="005C4FC0"/>
    <w:rsid w:val="005C50CD"/>
    <w:rsid w:val="005C5FE6"/>
    <w:rsid w:val="005C7036"/>
    <w:rsid w:val="005C7644"/>
    <w:rsid w:val="005C7C06"/>
    <w:rsid w:val="005C7C91"/>
    <w:rsid w:val="005C7FF4"/>
    <w:rsid w:val="005D063D"/>
    <w:rsid w:val="005D0978"/>
    <w:rsid w:val="005D1C46"/>
    <w:rsid w:val="005D2401"/>
    <w:rsid w:val="005D2F74"/>
    <w:rsid w:val="005D33C7"/>
    <w:rsid w:val="005D384E"/>
    <w:rsid w:val="005D3AF5"/>
    <w:rsid w:val="005D44C4"/>
    <w:rsid w:val="005D46E9"/>
    <w:rsid w:val="005D58DA"/>
    <w:rsid w:val="005D6162"/>
    <w:rsid w:val="005D61B0"/>
    <w:rsid w:val="005D63D4"/>
    <w:rsid w:val="005D6732"/>
    <w:rsid w:val="005D6918"/>
    <w:rsid w:val="005D6AFB"/>
    <w:rsid w:val="005D6B74"/>
    <w:rsid w:val="005D72BB"/>
    <w:rsid w:val="005D734A"/>
    <w:rsid w:val="005E0BF2"/>
    <w:rsid w:val="005E1350"/>
    <w:rsid w:val="005E140F"/>
    <w:rsid w:val="005E17BD"/>
    <w:rsid w:val="005E1898"/>
    <w:rsid w:val="005E1B36"/>
    <w:rsid w:val="005E1C14"/>
    <w:rsid w:val="005E1DD4"/>
    <w:rsid w:val="005E2481"/>
    <w:rsid w:val="005E251A"/>
    <w:rsid w:val="005E2963"/>
    <w:rsid w:val="005E35BE"/>
    <w:rsid w:val="005E3C6B"/>
    <w:rsid w:val="005E3D23"/>
    <w:rsid w:val="005E4332"/>
    <w:rsid w:val="005E4521"/>
    <w:rsid w:val="005E4D70"/>
    <w:rsid w:val="005E5A75"/>
    <w:rsid w:val="005E5D7A"/>
    <w:rsid w:val="005E616E"/>
    <w:rsid w:val="005E62A5"/>
    <w:rsid w:val="005E6C0F"/>
    <w:rsid w:val="005E702A"/>
    <w:rsid w:val="005E7513"/>
    <w:rsid w:val="005E7823"/>
    <w:rsid w:val="005E7AFC"/>
    <w:rsid w:val="005E7BCB"/>
    <w:rsid w:val="005E7F3F"/>
    <w:rsid w:val="005E7FC4"/>
    <w:rsid w:val="005F033E"/>
    <w:rsid w:val="005F0946"/>
    <w:rsid w:val="005F0BC8"/>
    <w:rsid w:val="005F0F2D"/>
    <w:rsid w:val="005F10AF"/>
    <w:rsid w:val="005F10ED"/>
    <w:rsid w:val="005F141D"/>
    <w:rsid w:val="005F1616"/>
    <w:rsid w:val="005F1C20"/>
    <w:rsid w:val="005F294B"/>
    <w:rsid w:val="005F29B4"/>
    <w:rsid w:val="005F3135"/>
    <w:rsid w:val="005F3619"/>
    <w:rsid w:val="005F3744"/>
    <w:rsid w:val="005F3D57"/>
    <w:rsid w:val="005F43FF"/>
    <w:rsid w:val="005F464A"/>
    <w:rsid w:val="005F4C1C"/>
    <w:rsid w:val="005F4D9D"/>
    <w:rsid w:val="005F4F36"/>
    <w:rsid w:val="005F6448"/>
    <w:rsid w:val="005F65A1"/>
    <w:rsid w:val="005F662F"/>
    <w:rsid w:val="005F6F9F"/>
    <w:rsid w:val="005F7A3C"/>
    <w:rsid w:val="005F7F07"/>
    <w:rsid w:val="005F7F95"/>
    <w:rsid w:val="00600667"/>
    <w:rsid w:val="00601077"/>
    <w:rsid w:val="00601690"/>
    <w:rsid w:val="00602247"/>
    <w:rsid w:val="00602907"/>
    <w:rsid w:val="006035AE"/>
    <w:rsid w:val="00603A24"/>
    <w:rsid w:val="00603B99"/>
    <w:rsid w:val="00603E0D"/>
    <w:rsid w:val="00605033"/>
    <w:rsid w:val="0060538D"/>
    <w:rsid w:val="006055B3"/>
    <w:rsid w:val="00605E01"/>
    <w:rsid w:val="006066C0"/>
    <w:rsid w:val="0060691E"/>
    <w:rsid w:val="00606E20"/>
    <w:rsid w:val="00606FF5"/>
    <w:rsid w:val="0060728A"/>
    <w:rsid w:val="0060732F"/>
    <w:rsid w:val="006075ED"/>
    <w:rsid w:val="006079A4"/>
    <w:rsid w:val="006102C7"/>
    <w:rsid w:val="0061038A"/>
    <w:rsid w:val="006107F7"/>
    <w:rsid w:val="00610AFC"/>
    <w:rsid w:val="00610CF9"/>
    <w:rsid w:val="00610D4D"/>
    <w:rsid w:val="00611262"/>
    <w:rsid w:val="0061134E"/>
    <w:rsid w:val="00611791"/>
    <w:rsid w:val="006125EE"/>
    <w:rsid w:val="0061279D"/>
    <w:rsid w:val="00612DC2"/>
    <w:rsid w:val="0061335A"/>
    <w:rsid w:val="00613C2A"/>
    <w:rsid w:val="00613E4F"/>
    <w:rsid w:val="00613FEB"/>
    <w:rsid w:val="00614986"/>
    <w:rsid w:val="00614BF2"/>
    <w:rsid w:val="00614DEE"/>
    <w:rsid w:val="00614EE2"/>
    <w:rsid w:val="00615073"/>
    <w:rsid w:val="006155FE"/>
    <w:rsid w:val="0061570B"/>
    <w:rsid w:val="00615E07"/>
    <w:rsid w:val="006160D0"/>
    <w:rsid w:val="0061631B"/>
    <w:rsid w:val="00616823"/>
    <w:rsid w:val="00616F4F"/>
    <w:rsid w:val="00616F50"/>
    <w:rsid w:val="006171A9"/>
    <w:rsid w:val="006174CF"/>
    <w:rsid w:val="00617EA1"/>
    <w:rsid w:val="006200D8"/>
    <w:rsid w:val="00620A90"/>
    <w:rsid w:val="00621082"/>
    <w:rsid w:val="006226CC"/>
    <w:rsid w:val="00623032"/>
    <w:rsid w:val="00623089"/>
    <w:rsid w:val="006230F9"/>
    <w:rsid w:val="006231F1"/>
    <w:rsid w:val="006232D6"/>
    <w:rsid w:val="00623433"/>
    <w:rsid w:val="00623AFA"/>
    <w:rsid w:val="00623D3E"/>
    <w:rsid w:val="00623E2E"/>
    <w:rsid w:val="006243F3"/>
    <w:rsid w:val="00624B5E"/>
    <w:rsid w:val="00624C8F"/>
    <w:rsid w:val="00624CA7"/>
    <w:rsid w:val="00624F91"/>
    <w:rsid w:val="006259B3"/>
    <w:rsid w:val="006265B5"/>
    <w:rsid w:val="00626AC9"/>
    <w:rsid w:val="00626C4B"/>
    <w:rsid w:val="00626C5F"/>
    <w:rsid w:val="00627031"/>
    <w:rsid w:val="00630025"/>
    <w:rsid w:val="00630A14"/>
    <w:rsid w:val="00630D5E"/>
    <w:rsid w:val="00631189"/>
    <w:rsid w:val="00631950"/>
    <w:rsid w:val="00631AC6"/>
    <w:rsid w:val="00631B9D"/>
    <w:rsid w:val="006327E3"/>
    <w:rsid w:val="006334B4"/>
    <w:rsid w:val="0063360A"/>
    <w:rsid w:val="00633748"/>
    <w:rsid w:val="00633932"/>
    <w:rsid w:val="0063393C"/>
    <w:rsid w:val="00635649"/>
    <w:rsid w:val="00635AA9"/>
    <w:rsid w:val="00635DF4"/>
    <w:rsid w:val="00636E71"/>
    <w:rsid w:val="00636F71"/>
    <w:rsid w:val="00637573"/>
    <w:rsid w:val="006379B9"/>
    <w:rsid w:val="00637EAD"/>
    <w:rsid w:val="00637ECA"/>
    <w:rsid w:val="00637FD9"/>
    <w:rsid w:val="006406CA"/>
    <w:rsid w:val="00640760"/>
    <w:rsid w:val="00640883"/>
    <w:rsid w:val="0064098D"/>
    <w:rsid w:val="00640A63"/>
    <w:rsid w:val="00640BC9"/>
    <w:rsid w:val="00640CAF"/>
    <w:rsid w:val="00641049"/>
    <w:rsid w:val="006418A3"/>
    <w:rsid w:val="00642128"/>
    <w:rsid w:val="006428DF"/>
    <w:rsid w:val="00642FDC"/>
    <w:rsid w:val="00643471"/>
    <w:rsid w:val="00643D26"/>
    <w:rsid w:val="00643DBA"/>
    <w:rsid w:val="00644EF1"/>
    <w:rsid w:val="006454D2"/>
    <w:rsid w:val="00646003"/>
    <w:rsid w:val="006465C3"/>
    <w:rsid w:val="00646A75"/>
    <w:rsid w:val="006473C5"/>
    <w:rsid w:val="00647C66"/>
    <w:rsid w:val="00647ED1"/>
    <w:rsid w:val="00650551"/>
    <w:rsid w:val="00650623"/>
    <w:rsid w:val="006506B5"/>
    <w:rsid w:val="0065071F"/>
    <w:rsid w:val="006508E5"/>
    <w:rsid w:val="00650D22"/>
    <w:rsid w:val="00650FF1"/>
    <w:rsid w:val="00650FFB"/>
    <w:rsid w:val="006511EF"/>
    <w:rsid w:val="00651229"/>
    <w:rsid w:val="00651454"/>
    <w:rsid w:val="006518F0"/>
    <w:rsid w:val="006519B8"/>
    <w:rsid w:val="00651F25"/>
    <w:rsid w:val="006521DA"/>
    <w:rsid w:val="00652A53"/>
    <w:rsid w:val="00652F82"/>
    <w:rsid w:val="00653E77"/>
    <w:rsid w:val="006542A4"/>
    <w:rsid w:val="006549BD"/>
    <w:rsid w:val="00654D74"/>
    <w:rsid w:val="00655A7C"/>
    <w:rsid w:val="00655AB8"/>
    <w:rsid w:val="0065600D"/>
    <w:rsid w:val="006563BF"/>
    <w:rsid w:val="006567DA"/>
    <w:rsid w:val="00656F18"/>
    <w:rsid w:val="00657362"/>
    <w:rsid w:val="006573ED"/>
    <w:rsid w:val="00657545"/>
    <w:rsid w:val="006577C0"/>
    <w:rsid w:val="006579C0"/>
    <w:rsid w:val="00657E17"/>
    <w:rsid w:val="006604EC"/>
    <w:rsid w:val="00660DE8"/>
    <w:rsid w:val="0066131F"/>
    <w:rsid w:val="0066196D"/>
    <w:rsid w:val="00661EC0"/>
    <w:rsid w:val="00661EFB"/>
    <w:rsid w:val="006620B2"/>
    <w:rsid w:val="0066220E"/>
    <w:rsid w:val="00662554"/>
    <w:rsid w:val="006629DB"/>
    <w:rsid w:val="00662B24"/>
    <w:rsid w:val="00662E7A"/>
    <w:rsid w:val="006633AF"/>
    <w:rsid w:val="0066375F"/>
    <w:rsid w:val="00663D63"/>
    <w:rsid w:val="00663E4B"/>
    <w:rsid w:val="006641A9"/>
    <w:rsid w:val="006648AE"/>
    <w:rsid w:val="006648CD"/>
    <w:rsid w:val="00665540"/>
    <w:rsid w:val="00665895"/>
    <w:rsid w:val="0066593E"/>
    <w:rsid w:val="00665968"/>
    <w:rsid w:val="00666349"/>
    <w:rsid w:val="00666BAE"/>
    <w:rsid w:val="006674A9"/>
    <w:rsid w:val="006675AD"/>
    <w:rsid w:val="00667D07"/>
    <w:rsid w:val="00667F45"/>
    <w:rsid w:val="0067019F"/>
    <w:rsid w:val="006705F6"/>
    <w:rsid w:val="00670986"/>
    <w:rsid w:val="00671AE2"/>
    <w:rsid w:val="00671D72"/>
    <w:rsid w:val="00672254"/>
    <w:rsid w:val="00672314"/>
    <w:rsid w:val="00672EAF"/>
    <w:rsid w:val="006733DD"/>
    <w:rsid w:val="006738EB"/>
    <w:rsid w:val="0067496D"/>
    <w:rsid w:val="00674E54"/>
    <w:rsid w:val="00674F18"/>
    <w:rsid w:val="006752EB"/>
    <w:rsid w:val="00675437"/>
    <w:rsid w:val="0067592E"/>
    <w:rsid w:val="00675D91"/>
    <w:rsid w:val="00675DFD"/>
    <w:rsid w:val="00675EBF"/>
    <w:rsid w:val="00675ECB"/>
    <w:rsid w:val="00676730"/>
    <w:rsid w:val="00676B56"/>
    <w:rsid w:val="0067766C"/>
    <w:rsid w:val="006777B0"/>
    <w:rsid w:val="00677FF9"/>
    <w:rsid w:val="006801D2"/>
    <w:rsid w:val="006803CC"/>
    <w:rsid w:val="00680CD6"/>
    <w:rsid w:val="00682219"/>
    <w:rsid w:val="006823D6"/>
    <w:rsid w:val="00682972"/>
    <w:rsid w:val="00682EB1"/>
    <w:rsid w:val="0068321D"/>
    <w:rsid w:val="0068344D"/>
    <w:rsid w:val="006837B6"/>
    <w:rsid w:val="00683C86"/>
    <w:rsid w:val="00684924"/>
    <w:rsid w:val="00684C4E"/>
    <w:rsid w:val="00685271"/>
    <w:rsid w:val="006856B5"/>
    <w:rsid w:val="00685F1A"/>
    <w:rsid w:val="00686EA5"/>
    <w:rsid w:val="006871D2"/>
    <w:rsid w:val="00687413"/>
    <w:rsid w:val="006904ED"/>
    <w:rsid w:val="00690858"/>
    <w:rsid w:val="00690E0C"/>
    <w:rsid w:val="006919BA"/>
    <w:rsid w:val="006919FA"/>
    <w:rsid w:val="00692735"/>
    <w:rsid w:val="0069285F"/>
    <w:rsid w:val="006931C2"/>
    <w:rsid w:val="006936B3"/>
    <w:rsid w:val="006937B1"/>
    <w:rsid w:val="00693871"/>
    <w:rsid w:val="006938C5"/>
    <w:rsid w:val="006938FD"/>
    <w:rsid w:val="0069399E"/>
    <w:rsid w:val="00693B6B"/>
    <w:rsid w:val="00693EAC"/>
    <w:rsid w:val="0069443F"/>
    <w:rsid w:val="00694803"/>
    <w:rsid w:val="00694F91"/>
    <w:rsid w:val="0069509B"/>
    <w:rsid w:val="00695213"/>
    <w:rsid w:val="00695584"/>
    <w:rsid w:val="00695930"/>
    <w:rsid w:val="00695FBB"/>
    <w:rsid w:val="0069628E"/>
    <w:rsid w:val="00696B12"/>
    <w:rsid w:val="00696D74"/>
    <w:rsid w:val="00697487"/>
    <w:rsid w:val="0069756A"/>
    <w:rsid w:val="00697601"/>
    <w:rsid w:val="0069788F"/>
    <w:rsid w:val="00697C66"/>
    <w:rsid w:val="006A00B3"/>
    <w:rsid w:val="006A012D"/>
    <w:rsid w:val="006A0242"/>
    <w:rsid w:val="006A031E"/>
    <w:rsid w:val="006A0F77"/>
    <w:rsid w:val="006A21D3"/>
    <w:rsid w:val="006A2317"/>
    <w:rsid w:val="006A243A"/>
    <w:rsid w:val="006A2777"/>
    <w:rsid w:val="006A287A"/>
    <w:rsid w:val="006A2B4C"/>
    <w:rsid w:val="006A3351"/>
    <w:rsid w:val="006A3716"/>
    <w:rsid w:val="006A3862"/>
    <w:rsid w:val="006A38AC"/>
    <w:rsid w:val="006A3D9D"/>
    <w:rsid w:val="006A40D3"/>
    <w:rsid w:val="006A451A"/>
    <w:rsid w:val="006A4A79"/>
    <w:rsid w:val="006A4B9B"/>
    <w:rsid w:val="006A5715"/>
    <w:rsid w:val="006A5798"/>
    <w:rsid w:val="006A59A9"/>
    <w:rsid w:val="006A5EAB"/>
    <w:rsid w:val="006A60A8"/>
    <w:rsid w:val="006A661F"/>
    <w:rsid w:val="006A66B1"/>
    <w:rsid w:val="006A736D"/>
    <w:rsid w:val="006A742F"/>
    <w:rsid w:val="006A7C0F"/>
    <w:rsid w:val="006A7CFE"/>
    <w:rsid w:val="006A7FC9"/>
    <w:rsid w:val="006B0051"/>
    <w:rsid w:val="006B00AC"/>
    <w:rsid w:val="006B04A8"/>
    <w:rsid w:val="006B0F2E"/>
    <w:rsid w:val="006B16FB"/>
    <w:rsid w:val="006B22D7"/>
    <w:rsid w:val="006B2A4D"/>
    <w:rsid w:val="006B2B8B"/>
    <w:rsid w:val="006B2BBC"/>
    <w:rsid w:val="006B2C6F"/>
    <w:rsid w:val="006B2CA4"/>
    <w:rsid w:val="006B2E0C"/>
    <w:rsid w:val="006B44CF"/>
    <w:rsid w:val="006B4999"/>
    <w:rsid w:val="006B4A9E"/>
    <w:rsid w:val="006B56B8"/>
    <w:rsid w:val="006B6018"/>
    <w:rsid w:val="006B610B"/>
    <w:rsid w:val="006B69F1"/>
    <w:rsid w:val="006B6A9C"/>
    <w:rsid w:val="006B6AC4"/>
    <w:rsid w:val="006B6ED3"/>
    <w:rsid w:val="006B70B2"/>
    <w:rsid w:val="006B7A8F"/>
    <w:rsid w:val="006B7AA2"/>
    <w:rsid w:val="006B7ADE"/>
    <w:rsid w:val="006B7BB8"/>
    <w:rsid w:val="006C03AD"/>
    <w:rsid w:val="006C03DD"/>
    <w:rsid w:val="006C0741"/>
    <w:rsid w:val="006C0ABE"/>
    <w:rsid w:val="006C0E08"/>
    <w:rsid w:val="006C0F8E"/>
    <w:rsid w:val="006C119E"/>
    <w:rsid w:val="006C1435"/>
    <w:rsid w:val="006C151B"/>
    <w:rsid w:val="006C2476"/>
    <w:rsid w:val="006C2B4A"/>
    <w:rsid w:val="006C30B1"/>
    <w:rsid w:val="006C349F"/>
    <w:rsid w:val="006C359F"/>
    <w:rsid w:val="006C3A70"/>
    <w:rsid w:val="006C43DA"/>
    <w:rsid w:val="006C44A6"/>
    <w:rsid w:val="006C495C"/>
    <w:rsid w:val="006C4AD9"/>
    <w:rsid w:val="006C4CA6"/>
    <w:rsid w:val="006C52CD"/>
    <w:rsid w:val="006C5B54"/>
    <w:rsid w:val="006C5E3C"/>
    <w:rsid w:val="006C5E50"/>
    <w:rsid w:val="006C64B5"/>
    <w:rsid w:val="006C67B6"/>
    <w:rsid w:val="006C72F2"/>
    <w:rsid w:val="006C73C5"/>
    <w:rsid w:val="006C7573"/>
    <w:rsid w:val="006C7AC7"/>
    <w:rsid w:val="006C7AEA"/>
    <w:rsid w:val="006C7AF3"/>
    <w:rsid w:val="006C7E1D"/>
    <w:rsid w:val="006D006B"/>
    <w:rsid w:val="006D0135"/>
    <w:rsid w:val="006D0863"/>
    <w:rsid w:val="006D089E"/>
    <w:rsid w:val="006D101C"/>
    <w:rsid w:val="006D1289"/>
    <w:rsid w:val="006D178B"/>
    <w:rsid w:val="006D22DC"/>
    <w:rsid w:val="006D240C"/>
    <w:rsid w:val="006D2908"/>
    <w:rsid w:val="006D3194"/>
    <w:rsid w:val="006D31A4"/>
    <w:rsid w:val="006D35CF"/>
    <w:rsid w:val="006D3DB4"/>
    <w:rsid w:val="006D46C5"/>
    <w:rsid w:val="006D48B0"/>
    <w:rsid w:val="006D493C"/>
    <w:rsid w:val="006D4F9A"/>
    <w:rsid w:val="006D565C"/>
    <w:rsid w:val="006D5D53"/>
    <w:rsid w:val="006D6367"/>
    <w:rsid w:val="006D6652"/>
    <w:rsid w:val="006D6A0E"/>
    <w:rsid w:val="006D6BDE"/>
    <w:rsid w:val="006D763C"/>
    <w:rsid w:val="006E1014"/>
    <w:rsid w:val="006E123B"/>
    <w:rsid w:val="006E125A"/>
    <w:rsid w:val="006E144C"/>
    <w:rsid w:val="006E17DB"/>
    <w:rsid w:val="006E1940"/>
    <w:rsid w:val="006E1FD6"/>
    <w:rsid w:val="006E214C"/>
    <w:rsid w:val="006E29D7"/>
    <w:rsid w:val="006E2A80"/>
    <w:rsid w:val="006E315C"/>
    <w:rsid w:val="006E3573"/>
    <w:rsid w:val="006E37CF"/>
    <w:rsid w:val="006E37DF"/>
    <w:rsid w:val="006E3F3E"/>
    <w:rsid w:val="006E4190"/>
    <w:rsid w:val="006E42DE"/>
    <w:rsid w:val="006E469E"/>
    <w:rsid w:val="006E4848"/>
    <w:rsid w:val="006E48A6"/>
    <w:rsid w:val="006E48CA"/>
    <w:rsid w:val="006E4AB3"/>
    <w:rsid w:val="006E4D38"/>
    <w:rsid w:val="006E4E8B"/>
    <w:rsid w:val="006E4ED1"/>
    <w:rsid w:val="006E51A4"/>
    <w:rsid w:val="006E5561"/>
    <w:rsid w:val="006E5CC2"/>
    <w:rsid w:val="006E600D"/>
    <w:rsid w:val="006E73C1"/>
    <w:rsid w:val="006E766C"/>
    <w:rsid w:val="006F00FA"/>
    <w:rsid w:val="006F0563"/>
    <w:rsid w:val="006F05BA"/>
    <w:rsid w:val="006F082F"/>
    <w:rsid w:val="006F0B98"/>
    <w:rsid w:val="006F0FD1"/>
    <w:rsid w:val="006F13AC"/>
    <w:rsid w:val="006F19A6"/>
    <w:rsid w:val="006F1BB6"/>
    <w:rsid w:val="006F1EAB"/>
    <w:rsid w:val="006F2489"/>
    <w:rsid w:val="006F252D"/>
    <w:rsid w:val="006F2A57"/>
    <w:rsid w:val="006F2F8F"/>
    <w:rsid w:val="006F3282"/>
    <w:rsid w:val="006F35AD"/>
    <w:rsid w:val="006F38FB"/>
    <w:rsid w:val="006F404D"/>
    <w:rsid w:val="006F40AF"/>
    <w:rsid w:val="006F4631"/>
    <w:rsid w:val="006F4921"/>
    <w:rsid w:val="006F55E9"/>
    <w:rsid w:val="006F56E7"/>
    <w:rsid w:val="006F5DAB"/>
    <w:rsid w:val="006F5DF8"/>
    <w:rsid w:val="006F6177"/>
    <w:rsid w:val="006F6351"/>
    <w:rsid w:val="006F63E6"/>
    <w:rsid w:val="006F64FB"/>
    <w:rsid w:val="006F651F"/>
    <w:rsid w:val="006F6A74"/>
    <w:rsid w:val="006F6C34"/>
    <w:rsid w:val="006F70DF"/>
    <w:rsid w:val="006F7315"/>
    <w:rsid w:val="006F7B76"/>
    <w:rsid w:val="00700147"/>
    <w:rsid w:val="00700368"/>
    <w:rsid w:val="00700701"/>
    <w:rsid w:val="007007FB"/>
    <w:rsid w:val="0070193D"/>
    <w:rsid w:val="00701DEB"/>
    <w:rsid w:val="00702269"/>
    <w:rsid w:val="0070269A"/>
    <w:rsid w:val="00702AC0"/>
    <w:rsid w:val="00702CF7"/>
    <w:rsid w:val="00702E67"/>
    <w:rsid w:val="00702F36"/>
    <w:rsid w:val="0070304A"/>
    <w:rsid w:val="0070387D"/>
    <w:rsid w:val="0070419A"/>
    <w:rsid w:val="007042B1"/>
    <w:rsid w:val="0070457D"/>
    <w:rsid w:val="007046E4"/>
    <w:rsid w:val="00704E62"/>
    <w:rsid w:val="0070539E"/>
    <w:rsid w:val="007053BB"/>
    <w:rsid w:val="00705695"/>
    <w:rsid w:val="00706051"/>
    <w:rsid w:val="0070616B"/>
    <w:rsid w:val="00706570"/>
    <w:rsid w:val="0070687D"/>
    <w:rsid w:val="00707460"/>
    <w:rsid w:val="00707892"/>
    <w:rsid w:val="00707C40"/>
    <w:rsid w:val="00710663"/>
    <w:rsid w:val="00710C60"/>
    <w:rsid w:val="00711456"/>
    <w:rsid w:val="00711568"/>
    <w:rsid w:val="00711634"/>
    <w:rsid w:val="00711C37"/>
    <w:rsid w:val="007131AE"/>
    <w:rsid w:val="007137C5"/>
    <w:rsid w:val="00713A7F"/>
    <w:rsid w:val="00713D2D"/>
    <w:rsid w:val="00713D56"/>
    <w:rsid w:val="00713FF7"/>
    <w:rsid w:val="00714104"/>
    <w:rsid w:val="00714721"/>
    <w:rsid w:val="007148E1"/>
    <w:rsid w:val="00714920"/>
    <w:rsid w:val="00716234"/>
    <w:rsid w:val="0071636A"/>
    <w:rsid w:val="007165AD"/>
    <w:rsid w:val="007167E1"/>
    <w:rsid w:val="00716F12"/>
    <w:rsid w:val="00717D3C"/>
    <w:rsid w:val="00720477"/>
    <w:rsid w:val="0072123C"/>
    <w:rsid w:val="00721C2A"/>
    <w:rsid w:val="00721C7C"/>
    <w:rsid w:val="0072218E"/>
    <w:rsid w:val="0072255E"/>
    <w:rsid w:val="00722589"/>
    <w:rsid w:val="0072272E"/>
    <w:rsid w:val="00722AE8"/>
    <w:rsid w:val="00722E91"/>
    <w:rsid w:val="00722E9A"/>
    <w:rsid w:val="00722F3F"/>
    <w:rsid w:val="00723047"/>
    <w:rsid w:val="00723C16"/>
    <w:rsid w:val="00723E01"/>
    <w:rsid w:val="00723FDF"/>
    <w:rsid w:val="00724B4E"/>
    <w:rsid w:val="0072525E"/>
    <w:rsid w:val="007255FB"/>
    <w:rsid w:val="007258A7"/>
    <w:rsid w:val="00725935"/>
    <w:rsid w:val="00725A36"/>
    <w:rsid w:val="007264C8"/>
    <w:rsid w:val="00726BB4"/>
    <w:rsid w:val="007271CB"/>
    <w:rsid w:val="00727277"/>
    <w:rsid w:val="007275A7"/>
    <w:rsid w:val="007275D2"/>
    <w:rsid w:val="00727E51"/>
    <w:rsid w:val="0073036F"/>
    <w:rsid w:val="00730560"/>
    <w:rsid w:val="0073072E"/>
    <w:rsid w:val="00730967"/>
    <w:rsid w:val="00730BDD"/>
    <w:rsid w:val="00730D07"/>
    <w:rsid w:val="00730DA9"/>
    <w:rsid w:val="00730E9F"/>
    <w:rsid w:val="00731FDA"/>
    <w:rsid w:val="00732AAC"/>
    <w:rsid w:val="00732D49"/>
    <w:rsid w:val="00732F07"/>
    <w:rsid w:val="00733105"/>
    <w:rsid w:val="00733394"/>
    <w:rsid w:val="007334A4"/>
    <w:rsid w:val="007335CB"/>
    <w:rsid w:val="007336DE"/>
    <w:rsid w:val="00733AA5"/>
    <w:rsid w:val="00733ACA"/>
    <w:rsid w:val="00733B8D"/>
    <w:rsid w:val="00733F9E"/>
    <w:rsid w:val="0073425E"/>
    <w:rsid w:val="00734C0E"/>
    <w:rsid w:val="00734E6F"/>
    <w:rsid w:val="00734F95"/>
    <w:rsid w:val="00735D33"/>
    <w:rsid w:val="00736009"/>
    <w:rsid w:val="0073608F"/>
    <w:rsid w:val="00736783"/>
    <w:rsid w:val="007378FC"/>
    <w:rsid w:val="00737B2E"/>
    <w:rsid w:val="00740303"/>
    <w:rsid w:val="00740343"/>
    <w:rsid w:val="00740369"/>
    <w:rsid w:val="00740C77"/>
    <w:rsid w:val="00740E42"/>
    <w:rsid w:val="007415F4"/>
    <w:rsid w:val="00741CB0"/>
    <w:rsid w:val="00742419"/>
    <w:rsid w:val="007424E1"/>
    <w:rsid w:val="007424F4"/>
    <w:rsid w:val="0074259D"/>
    <w:rsid w:val="007425DB"/>
    <w:rsid w:val="00743B76"/>
    <w:rsid w:val="00743C2E"/>
    <w:rsid w:val="007440F8"/>
    <w:rsid w:val="00744277"/>
    <w:rsid w:val="007444E4"/>
    <w:rsid w:val="00744777"/>
    <w:rsid w:val="00744952"/>
    <w:rsid w:val="007449D8"/>
    <w:rsid w:val="00744E25"/>
    <w:rsid w:val="00744ED7"/>
    <w:rsid w:val="007450EE"/>
    <w:rsid w:val="00745536"/>
    <w:rsid w:val="0074576C"/>
    <w:rsid w:val="00745B02"/>
    <w:rsid w:val="00745F9E"/>
    <w:rsid w:val="0074606A"/>
    <w:rsid w:val="007468AB"/>
    <w:rsid w:val="00746A32"/>
    <w:rsid w:val="00747098"/>
    <w:rsid w:val="00747732"/>
    <w:rsid w:val="0075064A"/>
    <w:rsid w:val="00750ADE"/>
    <w:rsid w:val="00750F86"/>
    <w:rsid w:val="0075170B"/>
    <w:rsid w:val="00751D14"/>
    <w:rsid w:val="007520C2"/>
    <w:rsid w:val="00752459"/>
    <w:rsid w:val="007526D7"/>
    <w:rsid w:val="0075306A"/>
    <w:rsid w:val="007536A9"/>
    <w:rsid w:val="00753978"/>
    <w:rsid w:val="00753C65"/>
    <w:rsid w:val="00753FA9"/>
    <w:rsid w:val="00754022"/>
    <w:rsid w:val="007542E8"/>
    <w:rsid w:val="0075444E"/>
    <w:rsid w:val="007554D0"/>
    <w:rsid w:val="007566B8"/>
    <w:rsid w:val="00756811"/>
    <w:rsid w:val="00756B24"/>
    <w:rsid w:val="00756C4D"/>
    <w:rsid w:val="007574D1"/>
    <w:rsid w:val="0075772E"/>
    <w:rsid w:val="007603C9"/>
    <w:rsid w:val="0076068B"/>
    <w:rsid w:val="00760CB7"/>
    <w:rsid w:val="00760F82"/>
    <w:rsid w:val="007617EB"/>
    <w:rsid w:val="00761839"/>
    <w:rsid w:val="007619B9"/>
    <w:rsid w:val="00761F77"/>
    <w:rsid w:val="007622CE"/>
    <w:rsid w:val="00762A2B"/>
    <w:rsid w:val="00762F39"/>
    <w:rsid w:val="00763EAE"/>
    <w:rsid w:val="00764150"/>
    <w:rsid w:val="0076435D"/>
    <w:rsid w:val="00764618"/>
    <w:rsid w:val="0076472B"/>
    <w:rsid w:val="00764B4C"/>
    <w:rsid w:val="00765897"/>
    <w:rsid w:val="0076598E"/>
    <w:rsid w:val="00765A09"/>
    <w:rsid w:val="00765B78"/>
    <w:rsid w:val="007666C6"/>
    <w:rsid w:val="0076680A"/>
    <w:rsid w:val="007668CF"/>
    <w:rsid w:val="00766A4D"/>
    <w:rsid w:val="00766BEF"/>
    <w:rsid w:val="00766EA8"/>
    <w:rsid w:val="00766FD3"/>
    <w:rsid w:val="007671AD"/>
    <w:rsid w:val="007673FD"/>
    <w:rsid w:val="00767566"/>
    <w:rsid w:val="00767AE2"/>
    <w:rsid w:val="00767B89"/>
    <w:rsid w:val="007707B0"/>
    <w:rsid w:val="00770BEE"/>
    <w:rsid w:val="00770C22"/>
    <w:rsid w:val="00770D23"/>
    <w:rsid w:val="00770D96"/>
    <w:rsid w:val="007714D8"/>
    <w:rsid w:val="007721E1"/>
    <w:rsid w:val="0077251E"/>
    <w:rsid w:val="00772835"/>
    <w:rsid w:val="007728A7"/>
    <w:rsid w:val="007728B9"/>
    <w:rsid w:val="00772C74"/>
    <w:rsid w:val="00772C8D"/>
    <w:rsid w:val="00772DBA"/>
    <w:rsid w:val="00773194"/>
    <w:rsid w:val="0077321F"/>
    <w:rsid w:val="007741DA"/>
    <w:rsid w:val="00774625"/>
    <w:rsid w:val="00774794"/>
    <w:rsid w:val="00774C46"/>
    <w:rsid w:val="00774F11"/>
    <w:rsid w:val="00775512"/>
    <w:rsid w:val="007757A5"/>
    <w:rsid w:val="00775934"/>
    <w:rsid w:val="00775C34"/>
    <w:rsid w:val="007761CC"/>
    <w:rsid w:val="00777920"/>
    <w:rsid w:val="0078000D"/>
    <w:rsid w:val="0078003C"/>
    <w:rsid w:val="007801F2"/>
    <w:rsid w:val="007809BA"/>
    <w:rsid w:val="00780D3B"/>
    <w:rsid w:val="00781014"/>
    <w:rsid w:val="007815E3"/>
    <w:rsid w:val="00781F09"/>
    <w:rsid w:val="0078213B"/>
    <w:rsid w:val="007821B1"/>
    <w:rsid w:val="00782281"/>
    <w:rsid w:val="00782554"/>
    <w:rsid w:val="00782F29"/>
    <w:rsid w:val="00783170"/>
    <w:rsid w:val="00783E62"/>
    <w:rsid w:val="007843C4"/>
    <w:rsid w:val="0078466F"/>
    <w:rsid w:val="007848A7"/>
    <w:rsid w:val="00784CF6"/>
    <w:rsid w:val="00785EDF"/>
    <w:rsid w:val="007861B3"/>
    <w:rsid w:val="00786C3E"/>
    <w:rsid w:val="00786D80"/>
    <w:rsid w:val="0078789A"/>
    <w:rsid w:val="00787B3D"/>
    <w:rsid w:val="0079046E"/>
    <w:rsid w:val="007907BB"/>
    <w:rsid w:val="00790DCC"/>
    <w:rsid w:val="00790F14"/>
    <w:rsid w:val="00791A6A"/>
    <w:rsid w:val="00792028"/>
    <w:rsid w:val="00792064"/>
    <w:rsid w:val="00792F00"/>
    <w:rsid w:val="00793176"/>
    <w:rsid w:val="00793E58"/>
    <w:rsid w:val="007944F4"/>
    <w:rsid w:val="00794B21"/>
    <w:rsid w:val="00795A16"/>
    <w:rsid w:val="00795B7F"/>
    <w:rsid w:val="00795BD5"/>
    <w:rsid w:val="007962ED"/>
    <w:rsid w:val="007964AD"/>
    <w:rsid w:val="007967EC"/>
    <w:rsid w:val="007971EF"/>
    <w:rsid w:val="007975D7"/>
    <w:rsid w:val="007A13AF"/>
    <w:rsid w:val="007A14C2"/>
    <w:rsid w:val="007A1730"/>
    <w:rsid w:val="007A1EA1"/>
    <w:rsid w:val="007A1F13"/>
    <w:rsid w:val="007A1FF1"/>
    <w:rsid w:val="007A29B1"/>
    <w:rsid w:val="007A2DE3"/>
    <w:rsid w:val="007A2F88"/>
    <w:rsid w:val="007A334D"/>
    <w:rsid w:val="007A3591"/>
    <w:rsid w:val="007A3DBF"/>
    <w:rsid w:val="007A4233"/>
    <w:rsid w:val="007A43B3"/>
    <w:rsid w:val="007A444D"/>
    <w:rsid w:val="007A4606"/>
    <w:rsid w:val="007A4939"/>
    <w:rsid w:val="007A57CD"/>
    <w:rsid w:val="007A5EE1"/>
    <w:rsid w:val="007A605F"/>
    <w:rsid w:val="007A6A38"/>
    <w:rsid w:val="007A6DF4"/>
    <w:rsid w:val="007A7A94"/>
    <w:rsid w:val="007A7CCF"/>
    <w:rsid w:val="007B00C2"/>
    <w:rsid w:val="007B014B"/>
    <w:rsid w:val="007B01F3"/>
    <w:rsid w:val="007B0E15"/>
    <w:rsid w:val="007B0E89"/>
    <w:rsid w:val="007B0EC5"/>
    <w:rsid w:val="007B13C1"/>
    <w:rsid w:val="007B1737"/>
    <w:rsid w:val="007B19E0"/>
    <w:rsid w:val="007B1AA0"/>
    <w:rsid w:val="007B1F9F"/>
    <w:rsid w:val="007B1FE6"/>
    <w:rsid w:val="007B22A3"/>
    <w:rsid w:val="007B2302"/>
    <w:rsid w:val="007B2627"/>
    <w:rsid w:val="007B35C2"/>
    <w:rsid w:val="007B35D5"/>
    <w:rsid w:val="007B388A"/>
    <w:rsid w:val="007B43BA"/>
    <w:rsid w:val="007B44DC"/>
    <w:rsid w:val="007B497F"/>
    <w:rsid w:val="007B4E8E"/>
    <w:rsid w:val="007B4EBE"/>
    <w:rsid w:val="007B4F3A"/>
    <w:rsid w:val="007B58DA"/>
    <w:rsid w:val="007B5A81"/>
    <w:rsid w:val="007B5C3A"/>
    <w:rsid w:val="007B62AF"/>
    <w:rsid w:val="007B6EF6"/>
    <w:rsid w:val="007B6F5D"/>
    <w:rsid w:val="007B6FEA"/>
    <w:rsid w:val="007B71D7"/>
    <w:rsid w:val="007B77E3"/>
    <w:rsid w:val="007B7AB4"/>
    <w:rsid w:val="007B7EEA"/>
    <w:rsid w:val="007B7FC5"/>
    <w:rsid w:val="007C038E"/>
    <w:rsid w:val="007C1524"/>
    <w:rsid w:val="007C1605"/>
    <w:rsid w:val="007C1B33"/>
    <w:rsid w:val="007C1C37"/>
    <w:rsid w:val="007C1C9A"/>
    <w:rsid w:val="007C1D35"/>
    <w:rsid w:val="007C1FBA"/>
    <w:rsid w:val="007C2933"/>
    <w:rsid w:val="007C29C7"/>
    <w:rsid w:val="007C32EC"/>
    <w:rsid w:val="007C3634"/>
    <w:rsid w:val="007C397E"/>
    <w:rsid w:val="007C3E9D"/>
    <w:rsid w:val="007C3F06"/>
    <w:rsid w:val="007C4156"/>
    <w:rsid w:val="007C4265"/>
    <w:rsid w:val="007C43B2"/>
    <w:rsid w:val="007C4449"/>
    <w:rsid w:val="007C4765"/>
    <w:rsid w:val="007C4966"/>
    <w:rsid w:val="007C57BA"/>
    <w:rsid w:val="007C6DC9"/>
    <w:rsid w:val="007C7829"/>
    <w:rsid w:val="007C7AB0"/>
    <w:rsid w:val="007D011E"/>
    <w:rsid w:val="007D03FD"/>
    <w:rsid w:val="007D04E2"/>
    <w:rsid w:val="007D077E"/>
    <w:rsid w:val="007D0804"/>
    <w:rsid w:val="007D0C08"/>
    <w:rsid w:val="007D123A"/>
    <w:rsid w:val="007D125A"/>
    <w:rsid w:val="007D19A3"/>
    <w:rsid w:val="007D1C09"/>
    <w:rsid w:val="007D24E9"/>
    <w:rsid w:val="007D2A74"/>
    <w:rsid w:val="007D3109"/>
    <w:rsid w:val="007D36E7"/>
    <w:rsid w:val="007D4A22"/>
    <w:rsid w:val="007D4E76"/>
    <w:rsid w:val="007D4FAD"/>
    <w:rsid w:val="007D5519"/>
    <w:rsid w:val="007D5D2A"/>
    <w:rsid w:val="007D60D4"/>
    <w:rsid w:val="007D6911"/>
    <w:rsid w:val="007D6BC7"/>
    <w:rsid w:val="007D6DC1"/>
    <w:rsid w:val="007D7010"/>
    <w:rsid w:val="007D7087"/>
    <w:rsid w:val="007D7431"/>
    <w:rsid w:val="007D7CA2"/>
    <w:rsid w:val="007E01B3"/>
    <w:rsid w:val="007E0FF2"/>
    <w:rsid w:val="007E1180"/>
    <w:rsid w:val="007E1772"/>
    <w:rsid w:val="007E22E1"/>
    <w:rsid w:val="007E237E"/>
    <w:rsid w:val="007E26AD"/>
    <w:rsid w:val="007E319C"/>
    <w:rsid w:val="007E32EA"/>
    <w:rsid w:val="007E331F"/>
    <w:rsid w:val="007E334D"/>
    <w:rsid w:val="007E34A6"/>
    <w:rsid w:val="007E3717"/>
    <w:rsid w:val="007E3BAA"/>
    <w:rsid w:val="007E3E7A"/>
    <w:rsid w:val="007E4BA9"/>
    <w:rsid w:val="007E5336"/>
    <w:rsid w:val="007E5A45"/>
    <w:rsid w:val="007E5B79"/>
    <w:rsid w:val="007E5C6B"/>
    <w:rsid w:val="007E5E5E"/>
    <w:rsid w:val="007E604E"/>
    <w:rsid w:val="007E637D"/>
    <w:rsid w:val="007E66F2"/>
    <w:rsid w:val="007E6AAC"/>
    <w:rsid w:val="007E7147"/>
    <w:rsid w:val="007E72D9"/>
    <w:rsid w:val="007E7674"/>
    <w:rsid w:val="007F02A7"/>
    <w:rsid w:val="007F09D4"/>
    <w:rsid w:val="007F0B62"/>
    <w:rsid w:val="007F1332"/>
    <w:rsid w:val="007F1A47"/>
    <w:rsid w:val="007F1ED4"/>
    <w:rsid w:val="007F3A26"/>
    <w:rsid w:val="007F4824"/>
    <w:rsid w:val="007F486C"/>
    <w:rsid w:val="007F4D65"/>
    <w:rsid w:val="007F515A"/>
    <w:rsid w:val="007F5473"/>
    <w:rsid w:val="007F54D4"/>
    <w:rsid w:val="007F56E3"/>
    <w:rsid w:val="007F5F43"/>
    <w:rsid w:val="007F5F62"/>
    <w:rsid w:val="007F61DA"/>
    <w:rsid w:val="007F6F76"/>
    <w:rsid w:val="007F70AD"/>
    <w:rsid w:val="007F71E9"/>
    <w:rsid w:val="007F7A41"/>
    <w:rsid w:val="007F7EB6"/>
    <w:rsid w:val="0080010A"/>
    <w:rsid w:val="0080040E"/>
    <w:rsid w:val="008007AC"/>
    <w:rsid w:val="00800993"/>
    <w:rsid w:val="008009DB"/>
    <w:rsid w:val="00801268"/>
    <w:rsid w:val="00801FB0"/>
    <w:rsid w:val="00802648"/>
    <w:rsid w:val="00802B4D"/>
    <w:rsid w:val="00802DDB"/>
    <w:rsid w:val="00803B34"/>
    <w:rsid w:val="00803CC2"/>
    <w:rsid w:val="00803D1E"/>
    <w:rsid w:val="00804B7E"/>
    <w:rsid w:val="008053AD"/>
    <w:rsid w:val="008058B0"/>
    <w:rsid w:val="0080591A"/>
    <w:rsid w:val="00805A63"/>
    <w:rsid w:val="00805BEC"/>
    <w:rsid w:val="00805EA8"/>
    <w:rsid w:val="008064E6"/>
    <w:rsid w:val="008064FE"/>
    <w:rsid w:val="00806A59"/>
    <w:rsid w:val="00806C7B"/>
    <w:rsid w:val="00807706"/>
    <w:rsid w:val="00807AF2"/>
    <w:rsid w:val="00807EA0"/>
    <w:rsid w:val="0081008A"/>
    <w:rsid w:val="008101A2"/>
    <w:rsid w:val="00810222"/>
    <w:rsid w:val="008112CF"/>
    <w:rsid w:val="00811465"/>
    <w:rsid w:val="008116A9"/>
    <w:rsid w:val="00811988"/>
    <w:rsid w:val="00811BDC"/>
    <w:rsid w:val="00811C88"/>
    <w:rsid w:val="00811E8D"/>
    <w:rsid w:val="008122BD"/>
    <w:rsid w:val="008124EA"/>
    <w:rsid w:val="008126C0"/>
    <w:rsid w:val="00812BFD"/>
    <w:rsid w:val="00812CAA"/>
    <w:rsid w:val="00812EDC"/>
    <w:rsid w:val="0081318A"/>
    <w:rsid w:val="008141EE"/>
    <w:rsid w:val="00814228"/>
    <w:rsid w:val="0081485A"/>
    <w:rsid w:val="00815336"/>
    <w:rsid w:val="008153AC"/>
    <w:rsid w:val="00815484"/>
    <w:rsid w:val="00815C93"/>
    <w:rsid w:val="0081680F"/>
    <w:rsid w:val="008168C9"/>
    <w:rsid w:val="008168F6"/>
    <w:rsid w:val="00816D2C"/>
    <w:rsid w:val="00816E53"/>
    <w:rsid w:val="008170C1"/>
    <w:rsid w:val="008170D3"/>
    <w:rsid w:val="00817200"/>
    <w:rsid w:val="00817619"/>
    <w:rsid w:val="008179B1"/>
    <w:rsid w:val="00817A05"/>
    <w:rsid w:val="00817C17"/>
    <w:rsid w:val="00820338"/>
    <w:rsid w:val="0082064F"/>
    <w:rsid w:val="00820BF6"/>
    <w:rsid w:val="008210A3"/>
    <w:rsid w:val="0082118F"/>
    <w:rsid w:val="0082174C"/>
    <w:rsid w:val="00821D8F"/>
    <w:rsid w:val="00821F0C"/>
    <w:rsid w:val="0082220C"/>
    <w:rsid w:val="008229F7"/>
    <w:rsid w:val="00822D8A"/>
    <w:rsid w:val="0082315B"/>
    <w:rsid w:val="008231BD"/>
    <w:rsid w:val="00823D63"/>
    <w:rsid w:val="00823E9A"/>
    <w:rsid w:val="0082480C"/>
    <w:rsid w:val="0082491E"/>
    <w:rsid w:val="00824F48"/>
    <w:rsid w:val="00825C91"/>
    <w:rsid w:val="00825DDE"/>
    <w:rsid w:val="0082655E"/>
    <w:rsid w:val="00826708"/>
    <w:rsid w:val="008267F5"/>
    <w:rsid w:val="0082693A"/>
    <w:rsid w:val="00826A55"/>
    <w:rsid w:val="00826CDE"/>
    <w:rsid w:val="00826D56"/>
    <w:rsid w:val="00827758"/>
    <w:rsid w:val="0082776C"/>
    <w:rsid w:val="00827781"/>
    <w:rsid w:val="00830798"/>
    <w:rsid w:val="00830A11"/>
    <w:rsid w:val="00830DDB"/>
    <w:rsid w:val="00831385"/>
    <w:rsid w:val="008324C0"/>
    <w:rsid w:val="008325F5"/>
    <w:rsid w:val="00832DC3"/>
    <w:rsid w:val="008339B9"/>
    <w:rsid w:val="00834D01"/>
    <w:rsid w:val="00834F1D"/>
    <w:rsid w:val="00835092"/>
    <w:rsid w:val="00835D85"/>
    <w:rsid w:val="00835F77"/>
    <w:rsid w:val="0083641A"/>
    <w:rsid w:val="008364FC"/>
    <w:rsid w:val="00836A80"/>
    <w:rsid w:val="00836B8F"/>
    <w:rsid w:val="00836FC3"/>
    <w:rsid w:val="008370CC"/>
    <w:rsid w:val="0083760D"/>
    <w:rsid w:val="008379DA"/>
    <w:rsid w:val="00837CEE"/>
    <w:rsid w:val="00840257"/>
    <w:rsid w:val="0084025F"/>
    <w:rsid w:val="00840DC8"/>
    <w:rsid w:val="00840FAB"/>
    <w:rsid w:val="00841449"/>
    <w:rsid w:val="00841615"/>
    <w:rsid w:val="00842455"/>
    <w:rsid w:val="008425AF"/>
    <w:rsid w:val="00842E11"/>
    <w:rsid w:val="00843215"/>
    <w:rsid w:val="00843A9F"/>
    <w:rsid w:val="00843B51"/>
    <w:rsid w:val="00843CCD"/>
    <w:rsid w:val="00843D47"/>
    <w:rsid w:val="0084466C"/>
    <w:rsid w:val="008446B2"/>
    <w:rsid w:val="008448B5"/>
    <w:rsid w:val="00845201"/>
    <w:rsid w:val="00845323"/>
    <w:rsid w:val="008454A3"/>
    <w:rsid w:val="00845A64"/>
    <w:rsid w:val="00846094"/>
    <w:rsid w:val="0084650B"/>
    <w:rsid w:val="0084681F"/>
    <w:rsid w:val="00846973"/>
    <w:rsid w:val="00846A5B"/>
    <w:rsid w:val="00846CB7"/>
    <w:rsid w:val="00846DC7"/>
    <w:rsid w:val="00846E54"/>
    <w:rsid w:val="008477F0"/>
    <w:rsid w:val="00847921"/>
    <w:rsid w:val="00847A26"/>
    <w:rsid w:val="00847BAC"/>
    <w:rsid w:val="008501CA"/>
    <w:rsid w:val="00850204"/>
    <w:rsid w:val="008502D4"/>
    <w:rsid w:val="00850672"/>
    <w:rsid w:val="008507D4"/>
    <w:rsid w:val="008509C8"/>
    <w:rsid w:val="00850CAC"/>
    <w:rsid w:val="0085197E"/>
    <w:rsid w:val="0085242A"/>
    <w:rsid w:val="00852810"/>
    <w:rsid w:val="0085309D"/>
    <w:rsid w:val="0085315B"/>
    <w:rsid w:val="0085322B"/>
    <w:rsid w:val="00853941"/>
    <w:rsid w:val="00854AC3"/>
    <w:rsid w:val="00854EA7"/>
    <w:rsid w:val="00855093"/>
    <w:rsid w:val="008558E5"/>
    <w:rsid w:val="00855AAA"/>
    <w:rsid w:val="008560E9"/>
    <w:rsid w:val="00856626"/>
    <w:rsid w:val="00856BA5"/>
    <w:rsid w:val="00856FF9"/>
    <w:rsid w:val="0085724E"/>
    <w:rsid w:val="008576EC"/>
    <w:rsid w:val="00857E33"/>
    <w:rsid w:val="00857FC6"/>
    <w:rsid w:val="00860024"/>
    <w:rsid w:val="00860703"/>
    <w:rsid w:val="00860962"/>
    <w:rsid w:val="008609D8"/>
    <w:rsid w:val="00860BE8"/>
    <w:rsid w:val="008611F4"/>
    <w:rsid w:val="008616B0"/>
    <w:rsid w:val="00861BDA"/>
    <w:rsid w:val="00861C9C"/>
    <w:rsid w:val="008631B4"/>
    <w:rsid w:val="00863917"/>
    <w:rsid w:val="0086473A"/>
    <w:rsid w:val="008647FC"/>
    <w:rsid w:val="00864CD6"/>
    <w:rsid w:val="00864FF2"/>
    <w:rsid w:val="008654FD"/>
    <w:rsid w:val="008657D7"/>
    <w:rsid w:val="008665F4"/>
    <w:rsid w:val="008668F9"/>
    <w:rsid w:val="00866CAA"/>
    <w:rsid w:val="008675DF"/>
    <w:rsid w:val="00867804"/>
    <w:rsid w:val="0086787E"/>
    <w:rsid w:val="00867898"/>
    <w:rsid w:val="00867C9E"/>
    <w:rsid w:val="008705F7"/>
    <w:rsid w:val="00870678"/>
    <w:rsid w:val="0087086E"/>
    <w:rsid w:val="00870DA6"/>
    <w:rsid w:val="00870E21"/>
    <w:rsid w:val="00871A4B"/>
    <w:rsid w:val="00871B20"/>
    <w:rsid w:val="00871BB7"/>
    <w:rsid w:val="00871D74"/>
    <w:rsid w:val="00871E4D"/>
    <w:rsid w:val="008726D7"/>
    <w:rsid w:val="00872788"/>
    <w:rsid w:val="00872C14"/>
    <w:rsid w:val="00872FB7"/>
    <w:rsid w:val="008733BE"/>
    <w:rsid w:val="008733F8"/>
    <w:rsid w:val="00873880"/>
    <w:rsid w:val="00873DEA"/>
    <w:rsid w:val="008740B2"/>
    <w:rsid w:val="00874F4F"/>
    <w:rsid w:val="00875509"/>
    <w:rsid w:val="00875978"/>
    <w:rsid w:val="00875B42"/>
    <w:rsid w:val="00875B84"/>
    <w:rsid w:val="008769C1"/>
    <w:rsid w:val="00876C4F"/>
    <w:rsid w:val="00877464"/>
    <w:rsid w:val="00877F62"/>
    <w:rsid w:val="00880115"/>
    <w:rsid w:val="0088052E"/>
    <w:rsid w:val="00880E0D"/>
    <w:rsid w:val="008813D0"/>
    <w:rsid w:val="008814F7"/>
    <w:rsid w:val="008816CA"/>
    <w:rsid w:val="00881D34"/>
    <w:rsid w:val="0088202C"/>
    <w:rsid w:val="00882043"/>
    <w:rsid w:val="008822FC"/>
    <w:rsid w:val="00882304"/>
    <w:rsid w:val="008826F1"/>
    <w:rsid w:val="00882915"/>
    <w:rsid w:val="008837AB"/>
    <w:rsid w:val="00884260"/>
    <w:rsid w:val="00884AD3"/>
    <w:rsid w:val="00884BBA"/>
    <w:rsid w:val="00885710"/>
    <w:rsid w:val="0088580E"/>
    <w:rsid w:val="00885A37"/>
    <w:rsid w:val="00885AEB"/>
    <w:rsid w:val="008861FD"/>
    <w:rsid w:val="008862FC"/>
    <w:rsid w:val="008865F5"/>
    <w:rsid w:val="008874EF"/>
    <w:rsid w:val="0088760D"/>
    <w:rsid w:val="00887B46"/>
    <w:rsid w:val="00887F22"/>
    <w:rsid w:val="0089004F"/>
    <w:rsid w:val="0089039B"/>
    <w:rsid w:val="008906DF"/>
    <w:rsid w:val="00890ADB"/>
    <w:rsid w:val="00890B18"/>
    <w:rsid w:val="00890F17"/>
    <w:rsid w:val="00891534"/>
    <w:rsid w:val="0089178A"/>
    <w:rsid w:val="008917BE"/>
    <w:rsid w:val="00891944"/>
    <w:rsid w:val="00891DB7"/>
    <w:rsid w:val="00891E02"/>
    <w:rsid w:val="008924EE"/>
    <w:rsid w:val="00892616"/>
    <w:rsid w:val="008931C4"/>
    <w:rsid w:val="0089390B"/>
    <w:rsid w:val="008939CC"/>
    <w:rsid w:val="00893BCE"/>
    <w:rsid w:val="00893C0C"/>
    <w:rsid w:val="00893D8C"/>
    <w:rsid w:val="008948DB"/>
    <w:rsid w:val="00894CF6"/>
    <w:rsid w:val="00894E56"/>
    <w:rsid w:val="0089539E"/>
    <w:rsid w:val="0089580C"/>
    <w:rsid w:val="00895BC3"/>
    <w:rsid w:val="0089631E"/>
    <w:rsid w:val="008968B0"/>
    <w:rsid w:val="00896A11"/>
    <w:rsid w:val="00896B11"/>
    <w:rsid w:val="0089713E"/>
    <w:rsid w:val="008978C9"/>
    <w:rsid w:val="00897A37"/>
    <w:rsid w:val="00897E00"/>
    <w:rsid w:val="00897EA3"/>
    <w:rsid w:val="008A0875"/>
    <w:rsid w:val="008A09F1"/>
    <w:rsid w:val="008A0CDA"/>
    <w:rsid w:val="008A0D53"/>
    <w:rsid w:val="008A112F"/>
    <w:rsid w:val="008A124D"/>
    <w:rsid w:val="008A3C13"/>
    <w:rsid w:val="008A3D59"/>
    <w:rsid w:val="008A3F5D"/>
    <w:rsid w:val="008A3FB8"/>
    <w:rsid w:val="008A48B1"/>
    <w:rsid w:val="008A5EC9"/>
    <w:rsid w:val="008A64BC"/>
    <w:rsid w:val="008A66D2"/>
    <w:rsid w:val="008A68E7"/>
    <w:rsid w:val="008A6FE1"/>
    <w:rsid w:val="008A7061"/>
    <w:rsid w:val="008A79CE"/>
    <w:rsid w:val="008B00B1"/>
    <w:rsid w:val="008B090A"/>
    <w:rsid w:val="008B0B6D"/>
    <w:rsid w:val="008B0E34"/>
    <w:rsid w:val="008B143C"/>
    <w:rsid w:val="008B16AD"/>
    <w:rsid w:val="008B17CF"/>
    <w:rsid w:val="008B1BC8"/>
    <w:rsid w:val="008B2103"/>
    <w:rsid w:val="008B27AE"/>
    <w:rsid w:val="008B28DB"/>
    <w:rsid w:val="008B2AAA"/>
    <w:rsid w:val="008B30C7"/>
    <w:rsid w:val="008B3180"/>
    <w:rsid w:val="008B3326"/>
    <w:rsid w:val="008B3BD9"/>
    <w:rsid w:val="008B3C25"/>
    <w:rsid w:val="008B3C9C"/>
    <w:rsid w:val="008B3DD7"/>
    <w:rsid w:val="008B3FCC"/>
    <w:rsid w:val="008B491C"/>
    <w:rsid w:val="008B4948"/>
    <w:rsid w:val="008B4A42"/>
    <w:rsid w:val="008B5155"/>
    <w:rsid w:val="008B534D"/>
    <w:rsid w:val="008B5421"/>
    <w:rsid w:val="008B5DF6"/>
    <w:rsid w:val="008B5EC0"/>
    <w:rsid w:val="008B65F6"/>
    <w:rsid w:val="008B6928"/>
    <w:rsid w:val="008B6BFE"/>
    <w:rsid w:val="008B6E1D"/>
    <w:rsid w:val="008B79A6"/>
    <w:rsid w:val="008B7FF8"/>
    <w:rsid w:val="008C02B7"/>
    <w:rsid w:val="008C03F6"/>
    <w:rsid w:val="008C0B6B"/>
    <w:rsid w:val="008C1064"/>
    <w:rsid w:val="008C1F0B"/>
    <w:rsid w:val="008C20F2"/>
    <w:rsid w:val="008C2851"/>
    <w:rsid w:val="008C2E7E"/>
    <w:rsid w:val="008C3329"/>
    <w:rsid w:val="008C3DB9"/>
    <w:rsid w:val="008C3ED2"/>
    <w:rsid w:val="008C4285"/>
    <w:rsid w:val="008C47C0"/>
    <w:rsid w:val="008C5182"/>
    <w:rsid w:val="008C5576"/>
    <w:rsid w:val="008C65C9"/>
    <w:rsid w:val="008C661C"/>
    <w:rsid w:val="008C66D4"/>
    <w:rsid w:val="008C6D94"/>
    <w:rsid w:val="008C6EF3"/>
    <w:rsid w:val="008C72AB"/>
    <w:rsid w:val="008C72D7"/>
    <w:rsid w:val="008C7543"/>
    <w:rsid w:val="008C78AE"/>
    <w:rsid w:val="008D00A8"/>
    <w:rsid w:val="008D05AA"/>
    <w:rsid w:val="008D08B0"/>
    <w:rsid w:val="008D1934"/>
    <w:rsid w:val="008D2E6C"/>
    <w:rsid w:val="008D34BD"/>
    <w:rsid w:val="008D3B36"/>
    <w:rsid w:val="008D45B6"/>
    <w:rsid w:val="008D46E7"/>
    <w:rsid w:val="008D4711"/>
    <w:rsid w:val="008D48D0"/>
    <w:rsid w:val="008D4BF4"/>
    <w:rsid w:val="008D4BFE"/>
    <w:rsid w:val="008D4F02"/>
    <w:rsid w:val="008D619E"/>
    <w:rsid w:val="008D6595"/>
    <w:rsid w:val="008D6C30"/>
    <w:rsid w:val="008D6C99"/>
    <w:rsid w:val="008D6EA9"/>
    <w:rsid w:val="008D6EEB"/>
    <w:rsid w:val="008D702C"/>
    <w:rsid w:val="008D71F1"/>
    <w:rsid w:val="008D7561"/>
    <w:rsid w:val="008D7C1B"/>
    <w:rsid w:val="008E0B7A"/>
    <w:rsid w:val="008E0FC2"/>
    <w:rsid w:val="008E133E"/>
    <w:rsid w:val="008E1587"/>
    <w:rsid w:val="008E1635"/>
    <w:rsid w:val="008E17F3"/>
    <w:rsid w:val="008E1DDD"/>
    <w:rsid w:val="008E2058"/>
    <w:rsid w:val="008E231E"/>
    <w:rsid w:val="008E27A3"/>
    <w:rsid w:val="008E2D73"/>
    <w:rsid w:val="008E2D92"/>
    <w:rsid w:val="008E30D9"/>
    <w:rsid w:val="008E344D"/>
    <w:rsid w:val="008E3B13"/>
    <w:rsid w:val="008E40A0"/>
    <w:rsid w:val="008E437E"/>
    <w:rsid w:val="008E44FA"/>
    <w:rsid w:val="008E460A"/>
    <w:rsid w:val="008E4BE8"/>
    <w:rsid w:val="008E4C36"/>
    <w:rsid w:val="008E4E81"/>
    <w:rsid w:val="008E51CE"/>
    <w:rsid w:val="008E58E8"/>
    <w:rsid w:val="008E653D"/>
    <w:rsid w:val="008E7AE0"/>
    <w:rsid w:val="008E7EDD"/>
    <w:rsid w:val="008F0002"/>
    <w:rsid w:val="008F0280"/>
    <w:rsid w:val="008F08FD"/>
    <w:rsid w:val="008F0B87"/>
    <w:rsid w:val="008F0C6A"/>
    <w:rsid w:val="008F0E23"/>
    <w:rsid w:val="008F0F5C"/>
    <w:rsid w:val="008F18AF"/>
    <w:rsid w:val="008F1C11"/>
    <w:rsid w:val="008F1EB4"/>
    <w:rsid w:val="008F2508"/>
    <w:rsid w:val="008F2563"/>
    <w:rsid w:val="008F28CD"/>
    <w:rsid w:val="008F2B0A"/>
    <w:rsid w:val="008F2C96"/>
    <w:rsid w:val="008F2D0B"/>
    <w:rsid w:val="008F317C"/>
    <w:rsid w:val="008F3DCF"/>
    <w:rsid w:val="008F3E80"/>
    <w:rsid w:val="008F425F"/>
    <w:rsid w:val="008F4560"/>
    <w:rsid w:val="008F5A7C"/>
    <w:rsid w:val="008F5EC9"/>
    <w:rsid w:val="008F60C1"/>
    <w:rsid w:val="008F6152"/>
    <w:rsid w:val="008F61AB"/>
    <w:rsid w:val="008F6FE1"/>
    <w:rsid w:val="008F7369"/>
    <w:rsid w:val="008F7E13"/>
    <w:rsid w:val="009004E4"/>
    <w:rsid w:val="009006BA"/>
    <w:rsid w:val="0090092B"/>
    <w:rsid w:val="00900FD0"/>
    <w:rsid w:val="009018C9"/>
    <w:rsid w:val="00901E9E"/>
    <w:rsid w:val="00901EFF"/>
    <w:rsid w:val="00903355"/>
    <w:rsid w:val="00903493"/>
    <w:rsid w:val="00903E26"/>
    <w:rsid w:val="00903FCE"/>
    <w:rsid w:val="0090404E"/>
    <w:rsid w:val="009040D4"/>
    <w:rsid w:val="0090478D"/>
    <w:rsid w:val="0090485F"/>
    <w:rsid w:val="009048D2"/>
    <w:rsid w:val="00904E36"/>
    <w:rsid w:val="00906109"/>
    <w:rsid w:val="009062C2"/>
    <w:rsid w:val="00907136"/>
    <w:rsid w:val="00907259"/>
    <w:rsid w:val="0090742F"/>
    <w:rsid w:val="0090756B"/>
    <w:rsid w:val="00907DEB"/>
    <w:rsid w:val="00910278"/>
    <w:rsid w:val="00910294"/>
    <w:rsid w:val="0091107B"/>
    <w:rsid w:val="00911B06"/>
    <w:rsid w:val="00911DA1"/>
    <w:rsid w:val="009120A1"/>
    <w:rsid w:val="0091230B"/>
    <w:rsid w:val="00912A0D"/>
    <w:rsid w:val="00912E9A"/>
    <w:rsid w:val="00913168"/>
    <w:rsid w:val="00913300"/>
    <w:rsid w:val="009134A1"/>
    <w:rsid w:val="009139A5"/>
    <w:rsid w:val="009139CE"/>
    <w:rsid w:val="00914E37"/>
    <w:rsid w:val="00915187"/>
    <w:rsid w:val="0091527C"/>
    <w:rsid w:val="0091646E"/>
    <w:rsid w:val="0091646F"/>
    <w:rsid w:val="00916631"/>
    <w:rsid w:val="00916989"/>
    <w:rsid w:val="00917337"/>
    <w:rsid w:val="00917596"/>
    <w:rsid w:val="009176E4"/>
    <w:rsid w:val="00917B56"/>
    <w:rsid w:val="00917C7E"/>
    <w:rsid w:val="00920273"/>
    <w:rsid w:val="009205D2"/>
    <w:rsid w:val="009207AD"/>
    <w:rsid w:val="00920C31"/>
    <w:rsid w:val="00921235"/>
    <w:rsid w:val="00921545"/>
    <w:rsid w:val="00921EE2"/>
    <w:rsid w:val="00921FE2"/>
    <w:rsid w:val="00922230"/>
    <w:rsid w:val="00922669"/>
    <w:rsid w:val="0092280B"/>
    <w:rsid w:val="009228F0"/>
    <w:rsid w:val="00922ABE"/>
    <w:rsid w:val="009234D5"/>
    <w:rsid w:val="009238F7"/>
    <w:rsid w:val="00923B0F"/>
    <w:rsid w:val="00923D01"/>
    <w:rsid w:val="00923D6F"/>
    <w:rsid w:val="00924DFC"/>
    <w:rsid w:val="00925055"/>
    <w:rsid w:val="00925103"/>
    <w:rsid w:val="0092521F"/>
    <w:rsid w:val="009252DE"/>
    <w:rsid w:val="00925460"/>
    <w:rsid w:val="009254DE"/>
    <w:rsid w:val="0092595D"/>
    <w:rsid w:val="009259B4"/>
    <w:rsid w:val="00925CD5"/>
    <w:rsid w:val="0092622C"/>
    <w:rsid w:val="0092697D"/>
    <w:rsid w:val="00926B68"/>
    <w:rsid w:val="00926D63"/>
    <w:rsid w:val="00926F03"/>
    <w:rsid w:val="009271C3"/>
    <w:rsid w:val="00927366"/>
    <w:rsid w:val="0092760A"/>
    <w:rsid w:val="009278AB"/>
    <w:rsid w:val="0093075E"/>
    <w:rsid w:val="009307F7"/>
    <w:rsid w:val="009309E1"/>
    <w:rsid w:val="00930A9A"/>
    <w:rsid w:val="00930E24"/>
    <w:rsid w:val="00930E4A"/>
    <w:rsid w:val="00930FB1"/>
    <w:rsid w:val="0093132D"/>
    <w:rsid w:val="00931A0D"/>
    <w:rsid w:val="00931CFA"/>
    <w:rsid w:val="00931F85"/>
    <w:rsid w:val="009320C6"/>
    <w:rsid w:val="00932347"/>
    <w:rsid w:val="0093269D"/>
    <w:rsid w:val="00932B48"/>
    <w:rsid w:val="00932F4A"/>
    <w:rsid w:val="0093310F"/>
    <w:rsid w:val="0093340A"/>
    <w:rsid w:val="009338B4"/>
    <w:rsid w:val="009346DA"/>
    <w:rsid w:val="009349DF"/>
    <w:rsid w:val="00934B3B"/>
    <w:rsid w:val="00934C70"/>
    <w:rsid w:val="00934EAE"/>
    <w:rsid w:val="009352EA"/>
    <w:rsid w:val="0093599A"/>
    <w:rsid w:val="00935D32"/>
    <w:rsid w:val="009364CE"/>
    <w:rsid w:val="00936591"/>
    <w:rsid w:val="00936AC9"/>
    <w:rsid w:val="00937286"/>
    <w:rsid w:val="00937452"/>
    <w:rsid w:val="00937576"/>
    <w:rsid w:val="00937977"/>
    <w:rsid w:val="00937DA9"/>
    <w:rsid w:val="0094014D"/>
    <w:rsid w:val="009409C0"/>
    <w:rsid w:val="009409D8"/>
    <w:rsid w:val="00940C00"/>
    <w:rsid w:val="0094127F"/>
    <w:rsid w:val="00941930"/>
    <w:rsid w:val="00941ABE"/>
    <w:rsid w:val="00942068"/>
    <w:rsid w:val="00942186"/>
    <w:rsid w:val="009421B5"/>
    <w:rsid w:val="00942C4C"/>
    <w:rsid w:val="00942C62"/>
    <w:rsid w:val="009437D0"/>
    <w:rsid w:val="009440DF"/>
    <w:rsid w:val="009442DE"/>
    <w:rsid w:val="00944592"/>
    <w:rsid w:val="009447B3"/>
    <w:rsid w:val="009448F1"/>
    <w:rsid w:val="00944C8C"/>
    <w:rsid w:val="00945398"/>
    <w:rsid w:val="009453E1"/>
    <w:rsid w:val="00945BB0"/>
    <w:rsid w:val="0094613B"/>
    <w:rsid w:val="009468BA"/>
    <w:rsid w:val="00946D57"/>
    <w:rsid w:val="00946E49"/>
    <w:rsid w:val="0094709F"/>
    <w:rsid w:val="0094753F"/>
    <w:rsid w:val="00947559"/>
    <w:rsid w:val="00947760"/>
    <w:rsid w:val="0094782D"/>
    <w:rsid w:val="009478E6"/>
    <w:rsid w:val="00947F2D"/>
    <w:rsid w:val="00950866"/>
    <w:rsid w:val="009509D4"/>
    <w:rsid w:val="009509EC"/>
    <w:rsid w:val="00951104"/>
    <w:rsid w:val="00951887"/>
    <w:rsid w:val="00951920"/>
    <w:rsid w:val="00951BB1"/>
    <w:rsid w:val="00952071"/>
    <w:rsid w:val="0095238A"/>
    <w:rsid w:val="009524F6"/>
    <w:rsid w:val="009525E3"/>
    <w:rsid w:val="0095261E"/>
    <w:rsid w:val="00952BA4"/>
    <w:rsid w:val="00952BF7"/>
    <w:rsid w:val="00953038"/>
    <w:rsid w:val="00953CB3"/>
    <w:rsid w:val="00954490"/>
    <w:rsid w:val="009544E3"/>
    <w:rsid w:val="00954A20"/>
    <w:rsid w:val="00955436"/>
    <w:rsid w:val="00955CF6"/>
    <w:rsid w:val="00956212"/>
    <w:rsid w:val="00956792"/>
    <w:rsid w:val="00956C11"/>
    <w:rsid w:val="00957E69"/>
    <w:rsid w:val="00957EFA"/>
    <w:rsid w:val="0096018A"/>
    <w:rsid w:val="00960198"/>
    <w:rsid w:val="00960285"/>
    <w:rsid w:val="00960311"/>
    <w:rsid w:val="00960591"/>
    <w:rsid w:val="009605C7"/>
    <w:rsid w:val="0096087A"/>
    <w:rsid w:val="009616BB"/>
    <w:rsid w:val="009619C2"/>
    <w:rsid w:val="00963294"/>
    <w:rsid w:val="0096337C"/>
    <w:rsid w:val="00963409"/>
    <w:rsid w:val="009643B3"/>
    <w:rsid w:val="00964CA0"/>
    <w:rsid w:val="00965660"/>
    <w:rsid w:val="00965A2C"/>
    <w:rsid w:val="00965E1B"/>
    <w:rsid w:val="0096622E"/>
    <w:rsid w:val="00966932"/>
    <w:rsid w:val="00966999"/>
    <w:rsid w:val="00966D87"/>
    <w:rsid w:val="00966DC9"/>
    <w:rsid w:val="009671F3"/>
    <w:rsid w:val="0096745E"/>
    <w:rsid w:val="00967571"/>
    <w:rsid w:val="009679F2"/>
    <w:rsid w:val="00967CDD"/>
    <w:rsid w:val="00967D5D"/>
    <w:rsid w:val="00970789"/>
    <w:rsid w:val="00970D28"/>
    <w:rsid w:val="0097197A"/>
    <w:rsid w:val="00971BA2"/>
    <w:rsid w:val="0097222C"/>
    <w:rsid w:val="0097269F"/>
    <w:rsid w:val="00972E9C"/>
    <w:rsid w:val="00972FF7"/>
    <w:rsid w:val="009732F1"/>
    <w:rsid w:val="00973546"/>
    <w:rsid w:val="00973895"/>
    <w:rsid w:val="00973D92"/>
    <w:rsid w:val="00974631"/>
    <w:rsid w:val="00974A34"/>
    <w:rsid w:val="00974C86"/>
    <w:rsid w:val="00974CD5"/>
    <w:rsid w:val="00974ED0"/>
    <w:rsid w:val="0097509B"/>
    <w:rsid w:val="009756B5"/>
    <w:rsid w:val="00975BCA"/>
    <w:rsid w:val="00975E3A"/>
    <w:rsid w:val="009761D4"/>
    <w:rsid w:val="00976AC0"/>
    <w:rsid w:val="00976CF9"/>
    <w:rsid w:val="00976FF3"/>
    <w:rsid w:val="0097797C"/>
    <w:rsid w:val="00980054"/>
    <w:rsid w:val="00980955"/>
    <w:rsid w:val="00980CCA"/>
    <w:rsid w:val="00981641"/>
    <w:rsid w:val="00981837"/>
    <w:rsid w:val="00981D54"/>
    <w:rsid w:val="00981DC3"/>
    <w:rsid w:val="0098288D"/>
    <w:rsid w:val="009828E5"/>
    <w:rsid w:val="00982C37"/>
    <w:rsid w:val="00982D20"/>
    <w:rsid w:val="00983662"/>
    <w:rsid w:val="00983794"/>
    <w:rsid w:val="0098487F"/>
    <w:rsid w:val="00984A32"/>
    <w:rsid w:val="00984D2B"/>
    <w:rsid w:val="0098599A"/>
    <w:rsid w:val="00985E3C"/>
    <w:rsid w:val="00985F73"/>
    <w:rsid w:val="00986B40"/>
    <w:rsid w:val="00986C39"/>
    <w:rsid w:val="00986DA9"/>
    <w:rsid w:val="00986E1A"/>
    <w:rsid w:val="0098734E"/>
    <w:rsid w:val="0098736A"/>
    <w:rsid w:val="009876F9"/>
    <w:rsid w:val="00987BCE"/>
    <w:rsid w:val="00987C3B"/>
    <w:rsid w:val="00987CC6"/>
    <w:rsid w:val="00987EBB"/>
    <w:rsid w:val="00990607"/>
    <w:rsid w:val="009907D1"/>
    <w:rsid w:val="00990BCF"/>
    <w:rsid w:val="00991A48"/>
    <w:rsid w:val="00991E36"/>
    <w:rsid w:val="0099254E"/>
    <w:rsid w:val="00992682"/>
    <w:rsid w:val="00992882"/>
    <w:rsid w:val="009929E0"/>
    <w:rsid w:val="00992ACB"/>
    <w:rsid w:val="00992B1B"/>
    <w:rsid w:val="00993553"/>
    <w:rsid w:val="00993685"/>
    <w:rsid w:val="00993921"/>
    <w:rsid w:val="00995593"/>
    <w:rsid w:val="00995732"/>
    <w:rsid w:val="00995C1C"/>
    <w:rsid w:val="009965ED"/>
    <w:rsid w:val="00996715"/>
    <w:rsid w:val="00996C79"/>
    <w:rsid w:val="009A0512"/>
    <w:rsid w:val="009A05AC"/>
    <w:rsid w:val="009A07F8"/>
    <w:rsid w:val="009A1CE3"/>
    <w:rsid w:val="009A2EFA"/>
    <w:rsid w:val="009A35D7"/>
    <w:rsid w:val="009A35EC"/>
    <w:rsid w:val="009A3C67"/>
    <w:rsid w:val="009A4AE8"/>
    <w:rsid w:val="009A4E85"/>
    <w:rsid w:val="009A4EA3"/>
    <w:rsid w:val="009A4FD7"/>
    <w:rsid w:val="009A50E1"/>
    <w:rsid w:val="009A59D1"/>
    <w:rsid w:val="009A5A91"/>
    <w:rsid w:val="009A61A3"/>
    <w:rsid w:val="009A6D7B"/>
    <w:rsid w:val="009A75A5"/>
    <w:rsid w:val="009A7887"/>
    <w:rsid w:val="009A795F"/>
    <w:rsid w:val="009A7C21"/>
    <w:rsid w:val="009A7EB6"/>
    <w:rsid w:val="009B07A3"/>
    <w:rsid w:val="009B0A72"/>
    <w:rsid w:val="009B11FF"/>
    <w:rsid w:val="009B1268"/>
    <w:rsid w:val="009B15FC"/>
    <w:rsid w:val="009B1727"/>
    <w:rsid w:val="009B196B"/>
    <w:rsid w:val="009B20F0"/>
    <w:rsid w:val="009B2664"/>
    <w:rsid w:val="009B3033"/>
    <w:rsid w:val="009B37BE"/>
    <w:rsid w:val="009B3BAE"/>
    <w:rsid w:val="009B3FF7"/>
    <w:rsid w:val="009B4234"/>
    <w:rsid w:val="009B447A"/>
    <w:rsid w:val="009B534F"/>
    <w:rsid w:val="009B5925"/>
    <w:rsid w:val="009B60DF"/>
    <w:rsid w:val="009B6113"/>
    <w:rsid w:val="009B62E9"/>
    <w:rsid w:val="009B647C"/>
    <w:rsid w:val="009B6C96"/>
    <w:rsid w:val="009B6F5C"/>
    <w:rsid w:val="009B7370"/>
    <w:rsid w:val="009B7E80"/>
    <w:rsid w:val="009C0340"/>
    <w:rsid w:val="009C0FA4"/>
    <w:rsid w:val="009C139E"/>
    <w:rsid w:val="009C170B"/>
    <w:rsid w:val="009C1730"/>
    <w:rsid w:val="009C180F"/>
    <w:rsid w:val="009C25C7"/>
    <w:rsid w:val="009C2B6B"/>
    <w:rsid w:val="009C2DAF"/>
    <w:rsid w:val="009C2E8F"/>
    <w:rsid w:val="009C3D9D"/>
    <w:rsid w:val="009C3E99"/>
    <w:rsid w:val="009C4364"/>
    <w:rsid w:val="009C47C6"/>
    <w:rsid w:val="009C47DE"/>
    <w:rsid w:val="009C4D31"/>
    <w:rsid w:val="009C4F5E"/>
    <w:rsid w:val="009C5021"/>
    <w:rsid w:val="009C54BA"/>
    <w:rsid w:val="009C54BC"/>
    <w:rsid w:val="009C57DC"/>
    <w:rsid w:val="009C5B45"/>
    <w:rsid w:val="009C619D"/>
    <w:rsid w:val="009C6224"/>
    <w:rsid w:val="009C6524"/>
    <w:rsid w:val="009C652B"/>
    <w:rsid w:val="009C6B82"/>
    <w:rsid w:val="009C6D53"/>
    <w:rsid w:val="009C7183"/>
    <w:rsid w:val="009C7B48"/>
    <w:rsid w:val="009D1E62"/>
    <w:rsid w:val="009D1F8D"/>
    <w:rsid w:val="009D1F92"/>
    <w:rsid w:val="009D225B"/>
    <w:rsid w:val="009D22F4"/>
    <w:rsid w:val="009D23F5"/>
    <w:rsid w:val="009D27D7"/>
    <w:rsid w:val="009D280E"/>
    <w:rsid w:val="009D2BA7"/>
    <w:rsid w:val="009D2D5A"/>
    <w:rsid w:val="009D325C"/>
    <w:rsid w:val="009D3CB7"/>
    <w:rsid w:val="009D3FDA"/>
    <w:rsid w:val="009D3FE8"/>
    <w:rsid w:val="009D4D2A"/>
    <w:rsid w:val="009D4D3F"/>
    <w:rsid w:val="009D6917"/>
    <w:rsid w:val="009D6946"/>
    <w:rsid w:val="009D6A86"/>
    <w:rsid w:val="009D6C3D"/>
    <w:rsid w:val="009D6F86"/>
    <w:rsid w:val="009D73FC"/>
    <w:rsid w:val="009D7A83"/>
    <w:rsid w:val="009D7C83"/>
    <w:rsid w:val="009E05A6"/>
    <w:rsid w:val="009E1290"/>
    <w:rsid w:val="009E1CDD"/>
    <w:rsid w:val="009E1E77"/>
    <w:rsid w:val="009E2079"/>
    <w:rsid w:val="009E2168"/>
    <w:rsid w:val="009E21BB"/>
    <w:rsid w:val="009E269C"/>
    <w:rsid w:val="009E2C1F"/>
    <w:rsid w:val="009E2D79"/>
    <w:rsid w:val="009E30B5"/>
    <w:rsid w:val="009E3486"/>
    <w:rsid w:val="009E38D3"/>
    <w:rsid w:val="009E3A56"/>
    <w:rsid w:val="009E3B4D"/>
    <w:rsid w:val="009E3B88"/>
    <w:rsid w:val="009E4295"/>
    <w:rsid w:val="009E4572"/>
    <w:rsid w:val="009E47F1"/>
    <w:rsid w:val="009E4907"/>
    <w:rsid w:val="009E4C55"/>
    <w:rsid w:val="009E4CA1"/>
    <w:rsid w:val="009E56FC"/>
    <w:rsid w:val="009E61DA"/>
    <w:rsid w:val="009E647C"/>
    <w:rsid w:val="009E653F"/>
    <w:rsid w:val="009E680E"/>
    <w:rsid w:val="009E6A0F"/>
    <w:rsid w:val="009E6DC7"/>
    <w:rsid w:val="009E72F0"/>
    <w:rsid w:val="009E75FB"/>
    <w:rsid w:val="009E7856"/>
    <w:rsid w:val="009E7C35"/>
    <w:rsid w:val="009E7D41"/>
    <w:rsid w:val="009F049F"/>
    <w:rsid w:val="009F05AD"/>
    <w:rsid w:val="009F0772"/>
    <w:rsid w:val="009F0A46"/>
    <w:rsid w:val="009F0C88"/>
    <w:rsid w:val="009F10F4"/>
    <w:rsid w:val="009F1523"/>
    <w:rsid w:val="009F1527"/>
    <w:rsid w:val="009F15EA"/>
    <w:rsid w:val="009F1A73"/>
    <w:rsid w:val="009F1BEA"/>
    <w:rsid w:val="009F1E1E"/>
    <w:rsid w:val="009F2062"/>
    <w:rsid w:val="009F2A9B"/>
    <w:rsid w:val="009F330E"/>
    <w:rsid w:val="009F3555"/>
    <w:rsid w:val="009F3960"/>
    <w:rsid w:val="009F3BEE"/>
    <w:rsid w:val="009F3CD4"/>
    <w:rsid w:val="009F3F14"/>
    <w:rsid w:val="009F4AB0"/>
    <w:rsid w:val="009F4DF4"/>
    <w:rsid w:val="009F4DFA"/>
    <w:rsid w:val="009F565E"/>
    <w:rsid w:val="009F59DF"/>
    <w:rsid w:val="009F5AA6"/>
    <w:rsid w:val="009F5F4F"/>
    <w:rsid w:val="009F5FFB"/>
    <w:rsid w:val="009F6515"/>
    <w:rsid w:val="009F6A67"/>
    <w:rsid w:val="009F6BAF"/>
    <w:rsid w:val="009F71CC"/>
    <w:rsid w:val="009F7508"/>
    <w:rsid w:val="009F7AE9"/>
    <w:rsid w:val="009F7BE7"/>
    <w:rsid w:val="009F7C94"/>
    <w:rsid w:val="009F7F9F"/>
    <w:rsid w:val="00A0016E"/>
    <w:rsid w:val="00A005EA"/>
    <w:rsid w:val="00A007CA"/>
    <w:rsid w:val="00A00B6B"/>
    <w:rsid w:val="00A01174"/>
    <w:rsid w:val="00A02A9B"/>
    <w:rsid w:val="00A02BBF"/>
    <w:rsid w:val="00A02CDB"/>
    <w:rsid w:val="00A02CFD"/>
    <w:rsid w:val="00A02DF6"/>
    <w:rsid w:val="00A02E8E"/>
    <w:rsid w:val="00A02FB6"/>
    <w:rsid w:val="00A0354F"/>
    <w:rsid w:val="00A03983"/>
    <w:rsid w:val="00A039C7"/>
    <w:rsid w:val="00A03A17"/>
    <w:rsid w:val="00A04060"/>
    <w:rsid w:val="00A04284"/>
    <w:rsid w:val="00A04914"/>
    <w:rsid w:val="00A0493A"/>
    <w:rsid w:val="00A049F5"/>
    <w:rsid w:val="00A04B46"/>
    <w:rsid w:val="00A04C52"/>
    <w:rsid w:val="00A04F55"/>
    <w:rsid w:val="00A050C4"/>
    <w:rsid w:val="00A05449"/>
    <w:rsid w:val="00A05600"/>
    <w:rsid w:val="00A05D9A"/>
    <w:rsid w:val="00A05DB1"/>
    <w:rsid w:val="00A0653E"/>
    <w:rsid w:val="00A06B50"/>
    <w:rsid w:val="00A06E6B"/>
    <w:rsid w:val="00A07243"/>
    <w:rsid w:val="00A07BCA"/>
    <w:rsid w:val="00A101F7"/>
    <w:rsid w:val="00A10601"/>
    <w:rsid w:val="00A10809"/>
    <w:rsid w:val="00A11009"/>
    <w:rsid w:val="00A110A9"/>
    <w:rsid w:val="00A110CA"/>
    <w:rsid w:val="00A11676"/>
    <w:rsid w:val="00A11A3D"/>
    <w:rsid w:val="00A1265A"/>
    <w:rsid w:val="00A12C6F"/>
    <w:rsid w:val="00A12E81"/>
    <w:rsid w:val="00A13343"/>
    <w:rsid w:val="00A134B3"/>
    <w:rsid w:val="00A136FD"/>
    <w:rsid w:val="00A137E3"/>
    <w:rsid w:val="00A1380E"/>
    <w:rsid w:val="00A1381E"/>
    <w:rsid w:val="00A140E1"/>
    <w:rsid w:val="00A14D2A"/>
    <w:rsid w:val="00A14DA8"/>
    <w:rsid w:val="00A150A4"/>
    <w:rsid w:val="00A164B7"/>
    <w:rsid w:val="00A16CDD"/>
    <w:rsid w:val="00A16E98"/>
    <w:rsid w:val="00A17162"/>
    <w:rsid w:val="00A174C4"/>
    <w:rsid w:val="00A17654"/>
    <w:rsid w:val="00A17D9F"/>
    <w:rsid w:val="00A17F98"/>
    <w:rsid w:val="00A2002B"/>
    <w:rsid w:val="00A207B7"/>
    <w:rsid w:val="00A20A5D"/>
    <w:rsid w:val="00A20DA0"/>
    <w:rsid w:val="00A20E51"/>
    <w:rsid w:val="00A2155F"/>
    <w:rsid w:val="00A21F0D"/>
    <w:rsid w:val="00A22582"/>
    <w:rsid w:val="00A22605"/>
    <w:rsid w:val="00A22637"/>
    <w:rsid w:val="00A2275A"/>
    <w:rsid w:val="00A22818"/>
    <w:rsid w:val="00A22B5F"/>
    <w:rsid w:val="00A23097"/>
    <w:rsid w:val="00A23358"/>
    <w:rsid w:val="00A2388B"/>
    <w:rsid w:val="00A23D69"/>
    <w:rsid w:val="00A2417F"/>
    <w:rsid w:val="00A244CB"/>
    <w:rsid w:val="00A252D8"/>
    <w:rsid w:val="00A26501"/>
    <w:rsid w:val="00A26B45"/>
    <w:rsid w:val="00A2723C"/>
    <w:rsid w:val="00A2744D"/>
    <w:rsid w:val="00A27468"/>
    <w:rsid w:val="00A27A61"/>
    <w:rsid w:val="00A30027"/>
    <w:rsid w:val="00A3036C"/>
    <w:rsid w:val="00A30566"/>
    <w:rsid w:val="00A305A7"/>
    <w:rsid w:val="00A31305"/>
    <w:rsid w:val="00A31897"/>
    <w:rsid w:val="00A328D1"/>
    <w:rsid w:val="00A32A4D"/>
    <w:rsid w:val="00A32CA4"/>
    <w:rsid w:val="00A32D44"/>
    <w:rsid w:val="00A32D54"/>
    <w:rsid w:val="00A330BB"/>
    <w:rsid w:val="00A33272"/>
    <w:rsid w:val="00A3348E"/>
    <w:rsid w:val="00A337F1"/>
    <w:rsid w:val="00A3385F"/>
    <w:rsid w:val="00A34F30"/>
    <w:rsid w:val="00A350F3"/>
    <w:rsid w:val="00A356E7"/>
    <w:rsid w:val="00A363FF"/>
    <w:rsid w:val="00A364D6"/>
    <w:rsid w:val="00A36B11"/>
    <w:rsid w:val="00A36D66"/>
    <w:rsid w:val="00A3704C"/>
    <w:rsid w:val="00A370FC"/>
    <w:rsid w:val="00A37191"/>
    <w:rsid w:val="00A3762D"/>
    <w:rsid w:val="00A37960"/>
    <w:rsid w:val="00A37B92"/>
    <w:rsid w:val="00A37F25"/>
    <w:rsid w:val="00A40169"/>
    <w:rsid w:val="00A40589"/>
    <w:rsid w:val="00A41AF3"/>
    <w:rsid w:val="00A421B3"/>
    <w:rsid w:val="00A42623"/>
    <w:rsid w:val="00A42AF4"/>
    <w:rsid w:val="00A42C48"/>
    <w:rsid w:val="00A42C58"/>
    <w:rsid w:val="00A43367"/>
    <w:rsid w:val="00A43513"/>
    <w:rsid w:val="00A438D7"/>
    <w:rsid w:val="00A440B6"/>
    <w:rsid w:val="00A441D2"/>
    <w:rsid w:val="00A45435"/>
    <w:rsid w:val="00A45CBA"/>
    <w:rsid w:val="00A46B2E"/>
    <w:rsid w:val="00A46C7D"/>
    <w:rsid w:val="00A47062"/>
    <w:rsid w:val="00A4713D"/>
    <w:rsid w:val="00A47321"/>
    <w:rsid w:val="00A475F3"/>
    <w:rsid w:val="00A47B9C"/>
    <w:rsid w:val="00A47D24"/>
    <w:rsid w:val="00A47D58"/>
    <w:rsid w:val="00A5006F"/>
    <w:rsid w:val="00A50080"/>
    <w:rsid w:val="00A502C2"/>
    <w:rsid w:val="00A5045D"/>
    <w:rsid w:val="00A50511"/>
    <w:rsid w:val="00A50D39"/>
    <w:rsid w:val="00A50D78"/>
    <w:rsid w:val="00A51504"/>
    <w:rsid w:val="00A51507"/>
    <w:rsid w:val="00A51554"/>
    <w:rsid w:val="00A515B8"/>
    <w:rsid w:val="00A51F0F"/>
    <w:rsid w:val="00A52DBF"/>
    <w:rsid w:val="00A52FC9"/>
    <w:rsid w:val="00A5464B"/>
    <w:rsid w:val="00A54AB7"/>
    <w:rsid w:val="00A54FA7"/>
    <w:rsid w:val="00A553FA"/>
    <w:rsid w:val="00A55E13"/>
    <w:rsid w:val="00A55FE2"/>
    <w:rsid w:val="00A5606A"/>
    <w:rsid w:val="00A564FC"/>
    <w:rsid w:val="00A56525"/>
    <w:rsid w:val="00A56591"/>
    <w:rsid w:val="00A565C2"/>
    <w:rsid w:val="00A5693B"/>
    <w:rsid w:val="00A57162"/>
    <w:rsid w:val="00A5728B"/>
    <w:rsid w:val="00A574F1"/>
    <w:rsid w:val="00A57CB2"/>
    <w:rsid w:val="00A6038C"/>
    <w:rsid w:val="00A60CEE"/>
    <w:rsid w:val="00A612DD"/>
    <w:rsid w:val="00A617DE"/>
    <w:rsid w:val="00A6292B"/>
    <w:rsid w:val="00A6293F"/>
    <w:rsid w:val="00A62A40"/>
    <w:rsid w:val="00A62AE4"/>
    <w:rsid w:val="00A638B8"/>
    <w:rsid w:val="00A642CA"/>
    <w:rsid w:val="00A64406"/>
    <w:rsid w:val="00A6484A"/>
    <w:rsid w:val="00A64902"/>
    <w:rsid w:val="00A649EC"/>
    <w:rsid w:val="00A6508C"/>
    <w:rsid w:val="00A6517F"/>
    <w:rsid w:val="00A6551D"/>
    <w:rsid w:val="00A65B6F"/>
    <w:rsid w:val="00A6623C"/>
    <w:rsid w:val="00A66739"/>
    <w:rsid w:val="00A667D1"/>
    <w:rsid w:val="00A66F75"/>
    <w:rsid w:val="00A670F5"/>
    <w:rsid w:val="00A70324"/>
    <w:rsid w:val="00A704CC"/>
    <w:rsid w:val="00A706AD"/>
    <w:rsid w:val="00A7073B"/>
    <w:rsid w:val="00A70C58"/>
    <w:rsid w:val="00A70D80"/>
    <w:rsid w:val="00A713C0"/>
    <w:rsid w:val="00A718E4"/>
    <w:rsid w:val="00A71A0E"/>
    <w:rsid w:val="00A71AAD"/>
    <w:rsid w:val="00A71BB2"/>
    <w:rsid w:val="00A71D46"/>
    <w:rsid w:val="00A71FD5"/>
    <w:rsid w:val="00A7237E"/>
    <w:rsid w:val="00A723AE"/>
    <w:rsid w:val="00A72AEC"/>
    <w:rsid w:val="00A749F1"/>
    <w:rsid w:val="00A753AD"/>
    <w:rsid w:val="00A75601"/>
    <w:rsid w:val="00A75662"/>
    <w:rsid w:val="00A7576E"/>
    <w:rsid w:val="00A75974"/>
    <w:rsid w:val="00A75A68"/>
    <w:rsid w:val="00A7627B"/>
    <w:rsid w:val="00A7637A"/>
    <w:rsid w:val="00A76BE2"/>
    <w:rsid w:val="00A77326"/>
    <w:rsid w:val="00A7793C"/>
    <w:rsid w:val="00A805D5"/>
    <w:rsid w:val="00A8075C"/>
    <w:rsid w:val="00A80E37"/>
    <w:rsid w:val="00A80FA6"/>
    <w:rsid w:val="00A814C3"/>
    <w:rsid w:val="00A8154C"/>
    <w:rsid w:val="00A815BE"/>
    <w:rsid w:val="00A81608"/>
    <w:rsid w:val="00A81BCD"/>
    <w:rsid w:val="00A81F5C"/>
    <w:rsid w:val="00A82233"/>
    <w:rsid w:val="00A829B7"/>
    <w:rsid w:val="00A832D3"/>
    <w:rsid w:val="00A83584"/>
    <w:rsid w:val="00A843A1"/>
    <w:rsid w:val="00A84555"/>
    <w:rsid w:val="00A84A0A"/>
    <w:rsid w:val="00A84BFA"/>
    <w:rsid w:val="00A84F4D"/>
    <w:rsid w:val="00A851FA"/>
    <w:rsid w:val="00A858B5"/>
    <w:rsid w:val="00A8595A"/>
    <w:rsid w:val="00A85A0E"/>
    <w:rsid w:val="00A85A3D"/>
    <w:rsid w:val="00A86044"/>
    <w:rsid w:val="00A865E1"/>
    <w:rsid w:val="00A8677E"/>
    <w:rsid w:val="00A86C20"/>
    <w:rsid w:val="00A8780E"/>
    <w:rsid w:val="00A90909"/>
    <w:rsid w:val="00A90966"/>
    <w:rsid w:val="00A909E9"/>
    <w:rsid w:val="00A90B64"/>
    <w:rsid w:val="00A90BB2"/>
    <w:rsid w:val="00A91135"/>
    <w:rsid w:val="00A91E5E"/>
    <w:rsid w:val="00A9246C"/>
    <w:rsid w:val="00A936ED"/>
    <w:rsid w:val="00A9373D"/>
    <w:rsid w:val="00A93757"/>
    <w:rsid w:val="00A93F98"/>
    <w:rsid w:val="00A94220"/>
    <w:rsid w:val="00A94C06"/>
    <w:rsid w:val="00A94CC8"/>
    <w:rsid w:val="00A94EE1"/>
    <w:rsid w:val="00A95156"/>
    <w:rsid w:val="00A957D4"/>
    <w:rsid w:val="00A959E0"/>
    <w:rsid w:val="00A95C1B"/>
    <w:rsid w:val="00A95C90"/>
    <w:rsid w:val="00A96865"/>
    <w:rsid w:val="00A96AA8"/>
    <w:rsid w:val="00A96CF4"/>
    <w:rsid w:val="00A9756B"/>
    <w:rsid w:val="00A97613"/>
    <w:rsid w:val="00A976E3"/>
    <w:rsid w:val="00A979CC"/>
    <w:rsid w:val="00A97B1F"/>
    <w:rsid w:val="00AA0563"/>
    <w:rsid w:val="00AA09F2"/>
    <w:rsid w:val="00AA0B2A"/>
    <w:rsid w:val="00AA0DAB"/>
    <w:rsid w:val="00AA119B"/>
    <w:rsid w:val="00AA11A8"/>
    <w:rsid w:val="00AA11E8"/>
    <w:rsid w:val="00AA13B7"/>
    <w:rsid w:val="00AA13DC"/>
    <w:rsid w:val="00AA1786"/>
    <w:rsid w:val="00AA17A9"/>
    <w:rsid w:val="00AA19CE"/>
    <w:rsid w:val="00AA2044"/>
    <w:rsid w:val="00AA2476"/>
    <w:rsid w:val="00AA2EE7"/>
    <w:rsid w:val="00AA2EEE"/>
    <w:rsid w:val="00AA3670"/>
    <w:rsid w:val="00AA3C96"/>
    <w:rsid w:val="00AA3CB6"/>
    <w:rsid w:val="00AA400A"/>
    <w:rsid w:val="00AA44F7"/>
    <w:rsid w:val="00AA4AE5"/>
    <w:rsid w:val="00AA5167"/>
    <w:rsid w:val="00AA52F1"/>
    <w:rsid w:val="00AA5551"/>
    <w:rsid w:val="00AA5D71"/>
    <w:rsid w:val="00AA615F"/>
    <w:rsid w:val="00AA647C"/>
    <w:rsid w:val="00AA676F"/>
    <w:rsid w:val="00AA69C3"/>
    <w:rsid w:val="00AA6B0E"/>
    <w:rsid w:val="00AA71CE"/>
    <w:rsid w:val="00AA73CF"/>
    <w:rsid w:val="00AA7A15"/>
    <w:rsid w:val="00AA7A38"/>
    <w:rsid w:val="00AA7BA1"/>
    <w:rsid w:val="00AA7F0D"/>
    <w:rsid w:val="00AB0A38"/>
    <w:rsid w:val="00AB132D"/>
    <w:rsid w:val="00AB1A38"/>
    <w:rsid w:val="00AB1B20"/>
    <w:rsid w:val="00AB1DD7"/>
    <w:rsid w:val="00AB2273"/>
    <w:rsid w:val="00AB230A"/>
    <w:rsid w:val="00AB27AE"/>
    <w:rsid w:val="00AB29B2"/>
    <w:rsid w:val="00AB2FDB"/>
    <w:rsid w:val="00AB3136"/>
    <w:rsid w:val="00AB3307"/>
    <w:rsid w:val="00AB33B5"/>
    <w:rsid w:val="00AB35A7"/>
    <w:rsid w:val="00AB362D"/>
    <w:rsid w:val="00AB3E06"/>
    <w:rsid w:val="00AB3E23"/>
    <w:rsid w:val="00AB4101"/>
    <w:rsid w:val="00AB4475"/>
    <w:rsid w:val="00AB455F"/>
    <w:rsid w:val="00AB4665"/>
    <w:rsid w:val="00AB4F2E"/>
    <w:rsid w:val="00AB5929"/>
    <w:rsid w:val="00AB5FA9"/>
    <w:rsid w:val="00AB5FED"/>
    <w:rsid w:val="00AB615C"/>
    <w:rsid w:val="00AB6377"/>
    <w:rsid w:val="00AB64F6"/>
    <w:rsid w:val="00AB69BB"/>
    <w:rsid w:val="00AB6A1A"/>
    <w:rsid w:val="00AB6BAC"/>
    <w:rsid w:val="00AB6DE6"/>
    <w:rsid w:val="00AB70D8"/>
    <w:rsid w:val="00AB74E8"/>
    <w:rsid w:val="00AB7548"/>
    <w:rsid w:val="00AB75FE"/>
    <w:rsid w:val="00AB7812"/>
    <w:rsid w:val="00AB795D"/>
    <w:rsid w:val="00AC095C"/>
    <w:rsid w:val="00AC0D65"/>
    <w:rsid w:val="00AC0D88"/>
    <w:rsid w:val="00AC1563"/>
    <w:rsid w:val="00AC2A49"/>
    <w:rsid w:val="00AC2AD1"/>
    <w:rsid w:val="00AC2F7C"/>
    <w:rsid w:val="00AC31E7"/>
    <w:rsid w:val="00AC3492"/>
    <w:rsid w:val="00AC39E9"/>
    <w:rsid w:val="00AC43B4"/>
    <w:rsid w:val="00AC5083"/>
    <w:rsid w:val="00AC5D10"/>
    <w:rsid w:val="00AC6303"/>
    <w:rsid w:val="00AC63B5"/>
    <w:rsid w:val="00AC6724"/>
    <w:rsid w:val="00AC6A4B"/>
    <w:rsid w:val="00AC6A8A"/>
    <w:rsid w:val="00AC72FF"/>
    <w:rsid w:val="00AC7C9F"/>
    <w:rsid w:val="00AC7F41"/>
    <w:rsid w:val="00AD01E4"/>
    <w:rsid w:val="00AD02E8"/>
    <w:rsid w:val="00AD031B"/>
    <w:rsid w:val="00AD0E56"/>
    <w:rsid w:val="00AD1901"/>
    <w:rsid w:val="00AD1C78"/>
    <w:rsid w:val="00AD1D98"/>
    <w:rsid w:val="00AD1FE6"/>
    <w:rsid w:val="00AD23E3"/>
    <w:rsid w:val="00AD249F"/>
    <w:rsid w:val="00AD2640"/>
    <w:rsid w:val="00AD2C05"/>
    <w:rsid w:val="00AD326D"/>
    <w:rsid w:val="00AD36E7"/>
    <w:rsid w:val="00AD378A"/>
    <w:rsid w:val="00AD3D99"/>
    <w:rsid w:val="00AD3FA1"/>
    <w:rsid w:val="00AD4197"/>
    <w:rsid w:val="00AD46AA"/>
    <w:rsid w:val="00AD4DD0"/>
    <w:rsid w:val="00AD4E75"/>
    <w:rsid w:val="00AD57D6"/>
    <w:rsid w:val="00AD6037"/>
    <w:rsid w:val="00AD64FC"/>
    <w:rsid w:val="00AD65C6"/>
    <w:rsid w:val="00AD6AFC"/>
    <w:rsid w:val="00AD7AE2"/>
    <w:rsid w:val="00AD7FA6"/>
    <w:rsid w:val="00AE05DC"/>
    <w:rsid w:val="00AE071C"/>
    <w:rsid w:val="00AE08D2"/>
    <w:rsid w:val="00AE0FB4"/>
    <w:rsid w:val="00AE1EFB"/>
    <w:rsid w:val="00AE20A8"/>
    <w:rsid w:val="00AE26CC"/>
    <w:rsid w:val="00AE2E15"/>
    <w:rsid w:val="00AE356C"/>
    <w:rsid w:val="00AE3720"/>
    <w:rsid w:val="00AE391B"/>
    <w:rsid w:val="00AE3E1F"/>
    <w:rsid w:val="00AE3F44"/>
    <w:rsid w:val="00AE4054"/>
    <w:rsid w:val="00AE4592"/>
    <w:rsid w:val="00AE47A4"/>
    <w:rsid w:val="00AE4A0A"/>
    <w:rsid w:val="00AE5299"/>
    <w:rsid w:val="00AE5966"/>
    <w:rsid w:val="00AE610F"/>
    <w:rsid w:val="00AE6287"/>
    <w:rsid w:val="00AE6474"/>
    <w:rsid w:val="00AE64C8"/>
    <w:rsid w:val="00AE6755"/>
    <w:rsid w:val="00AE6D75"/>
    <w:rsid w:val="00AE6F4D"/>
    <w:rsid w:val="00AE78B9"/>
    <w:rsid w:val="00AE7973"/>
    <w:rsid w:val="00AE7EC6"/>
    <w:rsid w:val="00AF0022"/>
    <w:rsid w:val="00AF056A"/>
    <w:rsid w:val="00AF056C"/>
    <w:rsid w:val="00AF0759"/>
    <w:rsid w:val="00AF09E4"/>
    <w:rsid w:val="00AF0D77"/>
    <w:rsid w:val="00AF0F66"/>
    <w:rsid w:val="00AF0FA1"/>
    <w:rsid w:val="00AF2099"/>
    <w:rsid w:val="00AF30C8"/>
    <w:rsid w:val="00AF32B2"/>
    <w:rsid w:val="00AF3CFB"/>
    <w:rsid w:val="00AF44BF"/>
    <w:rsid w:val="00AF4B14"/>
    <w:rsid w:val="00AF4F45"/>
    <w:rsid w:val="00AF562D"/>
    <w:rsid w:val="00AF5A1C"/>
    <w:rsid w:val="00AF5A69"/>
    <w:rsid w:val="00AF5B4D"/>
    <w:rsid w:val="00AF5E02"/>
    <w:rsid w:val="00AF6A42"/>
    <w:rsid w:val="00AF708A"/>
    <w:rsid w:val="00AF7176"/>
    <w:rsid w:val="00AF7467"/>
    <w:rsid w:val="00AF7646"/>
    <w:rsid w:val="00AF7868"/>
    <w:rsid w:val="00AF79C0"/>
    <w:rsid w:val="00AF7D47"/>
    <w:rsid w:val="00B001BD"/>
    <w:rsid w:val="00B00E3A"/>
    <w:rsid w:val="00B01332"/>
    <w:rsid w:val="00B01847"/>
    <w:rsid w:val="00B0193F"/>
    <w:rsid w:val="00B0197A"/>
    <w:rsid w:val="00B024E8"/>
    <w:rsid w:val="00B02D25"/>
    <w:rsid w:val="00B0322A"/>
    <w:rsid w:val="00B03738"/>
    <w:rsid w:val="00B03B51"/>
    <w:rsid w:val="00B03C52"/>
    <w:rsid w:val="00B03D55"/>
    <w:rsid w:val="00B0416A"/>
    <w:rsid w:val="00B04253"/>
    <w:rsid w:val="00B04671"/>
    <w:rsid w:val="00B04CAE"/>
    <w:rsid w:val="00B04D90"/>
    <w:rsid w:val="00B04F56"/>
    <w:rsid w:val="00B0518B"/>
    <w:rsid w:val="00B05246"/>
    <w:rsid w:val="00B0592A"/>
    <w:rsid w:val="00B064FC"/>
    <w:rsid w:val="00B065BB"/>
    <w:rsid w:val="00B06703"/>
    <w:rsid w:val="00B068C3"/>
    <w:rsid w:val="00B06B2C"/>
    <w:rsid w:val="00B071EC"/>
    <w:rsid w:val="00B076E3"/>
    <w:rsid w:val="00B07B0E"/>
    <w:rsid w:val="00B10224"/>
    <w:rsid w:val="00B1038C"/>
    <w:rsid w:val="00B10BE6"/>
    <w:rsid w:val="00B10DE5"/>
    <w:rsid w:val="00B10F31"/>
    <w:rsid w:val="00B1113C"/>
    <w:rsid w:val="00B11799"/>
    <w:rsid w:val="00B119CB"/>
    <w:rsid w:val="00B11F94"/>
    <w:rsid w:val="00B123B3"/>
    <w:rsid w:val="00B12497"/>
    <w:rsid w:val="00B125CE"/>
    <w:rsid w:val="00B13141"/>
    <w:rsid w:val="00B131E0"/>
    <w:rsid w:val="00B13836"/>
    <w:rsid w:val="00B139D5"/>
    <w:rsid w:val="00B13CDF"/>
    <w:rsid w:val="00B14161"/>
    <w:rsid w:val="00B146DF"/>
    <w:rsid w:val="00B14FC0"/>
    <w:rsid w:val="00B1521B"/>
    <w:rsid w:val="00B153E3"/>
    <w:rsid w:val="00B15626"/>
    <w:rsid w:val="00B16567"/>
    <w:rsid w:val="00B16C10"/>
    <w:rsid w:val="00B16DEA"/>
    <w:rsid w:val="00B16F8D"/>
    <w:rsid w:val="00B174F0"/>
    <w:rsid w:val="00B176F1"/>
    <w:rsid w:val="00B177DD"/>
    <w:rsid w:val="00B17890"/>
    <w:rsid w:val="00B17946"/>
    <w:rsid w:val="00B21056"/>
    <w:rsid w:val="00B2174B"/>
    <w:rsid w:val="00B21A4B"/>
    <w:rsid w:val="00B221A8"/>
    <w:rsid w:val="00B223A0"/>
    <w:rsid w:val="00B228CD"/>
    <w:rsid w:val="00B22B5E"/>
    <w:rsid w:val="00B22DCF"/>
    <w:rsid w:val="00B23483"/>
    <w:rsid w:val="00B234B0"/>
    <w:rsid w:val="00B23972"/>
    <w:rsid w:val="00B239BE"/>
    <w:rsid w:val="00B2414B"/>
    <w:rsid w:val="00B251CD"/>
    <w:rsid w:val="00B25453"/>
    <w:rsid w:val="00B25D94"/>
    <w:rsid w:val="00B263EC"/>
    <w:rsid w:val="00B26CC3"/>
    <w:rsid w:val="00B26F57"/>
    <w:rsid w:val="00B272CB"/>
    <w:rsid w:val="00B27803"/>
    <w:rsid w:val="00B27935"/>
    <w:rsid w:val="00B27A4A"/>
    <w:rsid w:val="00B27A8D"/>
    <w:rsid w:val="00B30121"/>
    <w:rsid w:val="00B301E9"/>
    <w:rsid w:val="00B314D6"/>
    <w:rsid w:val="00B31713"/>
    <w:rsid w:val="00B318A7"/>
    <w:rsid w:val="00B321EC"/>
    <w:rsid w:val="00B3221F"/>
    <w:rsid w:val="00B3263B"/>
    <w:rsid w:val="00B32AC8"/>
    <w:rsid w:val="00B32B5F"/>
    <w:rsid w:val="00B33157"/>
    <w:rsid w:val="00B332E7"/>
    <w:rsid w:val="00B334F5"/>
    <w:rsid w:val="00B33529"/>
    <w:rsid w:val="00B336CB"/>
    <w:rsid w:val="00B33B9A"/>
    <w:rsid w:val="00B33DFE"/>
    <w:rsid w:val="00B34021"/>
    <w:rsid w:val="00B3467D"/>
    <w:rsid w:val="00B348FE"/>
    <w:rsid w:val="00B34992"/>
    <w:rsid w:val="00B34BB3"/>
    <w:rsid w:val="00B34D8E"/>
    <w:rsid w:val="00B351C9"/>
    <w:rsid w:val="00B354CF"/>
    <w:rsid w:val="00B35CF0"/>
    <w:rsid w:val="00B360F7"/>
    <w:rsid w:val="00B36419"/>
    <w:rsid w:val="00B364B0"/>
    <w:rsid w:val="00B36928"/>
    <w:rsid w:val="00B36AA1"/>
    <w:rsid w:val="00B36E86"/>
    <w:rsid w:val="00B37827"/>
    <w:rsid w:val="00B37E5C"/>
    <w:rsid w:val="00B400C8"/>
    <w:rsid w:val="00B40243"/>
    <w:rsid w:val="00B4033C"/>
    <w:rsid w:val="00B40CE7"/>
    <w:rsid w:val="00B40DD2"/>
    <w:rsid w:val="00B40F32"/>
    <w:rsid w:val="00B40F64"/>
    <w:rsid w:val="00B410A0"/>
    <w:rsid w:val="00B410B4"/>
    <w:rsid w:val="00B413E2"/>
    <w:rsid w:val="00B414E9"/>
    <w:rsid w:val="00B420E9"/>
    <w:rsid w:val="00B42111"/>
    <w:rsid w:val="00B42307"/>
    <w:rsid w:val="00B42720"/>
    <w:rsid w:val="00B42780"/>
    <w:rsid w:val="00B42888"/>
    <w:rsid w:val="00B4292F"/>
    <w:rsid w:val="00B42BBB"/>
    <w:rsid w:val="00B43A4E"/>
    <w:rsid w:val="00B43E36"/>
    <w:rsid w:val="00B43EA5"/>
    <w:rsid w:val="00B445F2"/>
    <w:rsid w:val="00B4543E"/>
    <w:rsid w:val="00B463A0"/>
    <w:rsid w:val="00B463C0"/>
    <w:rsid w:val="00B46865"/>
    <w:rsid w:val="00B46B4B"/>
    <w:rsid w:val="00B46D2E"/>
    <w:rsid w:val="00B46D60"/>
    <w:rsid w:val="00B46EFD"/>
    <w:rsid w:val="00B4775E"/>
    <w:rsid w:val="00B47C12"/>
    <w:rsid w:val="00B47E34"/>
    <w:rsid w:val="00B47E74"/>
    <w:rsid w:val="00B50125"/>
    <w:rsid w:val="00B5020F"/>
    <w:rsid w:val="00B50694"/>
    <w:rsid w:val="00B50950"/>
    <w:rsid w:val="00B5107C"/>
    <w:rsid w:val="00B513CD"/>
    <w:rsid w:val="00B513F3"/>
    <w:rsid w:val="00B517C7"/>
    <w:rsid w:val="00B517FC"/>
    <w:rsid w:val="00B51E31"/>
    <w:rsid w:val="00B5206F"/>
    <w:rsid w:val="00B52246"/>
    <w:rsid w:val="00B523BF"/>
    <w:rsid w:val="00B5246A"/>
    <w:rsid w:val="00B52EAB"/>
    <w:rsid w:val="00B53391"/>
    <w:rsid w:val="00B534B1"/>
    <w:rsid w:val="00B54B0D"/>
    <w:rsid w:val="00B5533B"/>
    <w:rsid w:val="00B55947"/>
    <w:rsid w:val="00B55D56"/>
    <w:rsid w:val="00B55E32"/>
    <w:rsid w:val="00B55F6D"/>
    <w:rsid w:val="00B56041"/>
    <w:rsid w:val="00B56CC7"/>
    <w:rsid w:val="00B56DA0"/>
    <w:rsid w:val="00B57083"/>
    <w:rsid w:val="00B572A7"/>
    <w:rsid w:val="00B57440"/>
    <w:rsid w:val="00B60783"/>
    <w:rsid w:val="00B60A00"/>
    <w:rsid w:val="00B60CEF"/>
    <w:rsid w:val="00B610DC"/>
    <w:rsid w:val="00B6183B"/>
    <w:rsid w:val="00B619FB"/>
    <w:rsid w:val="00B61AD1"/>
    <w:rsid w:val="00B61BD9"/>
    <w:rsid w:val="00B61DAE"/>
    <w:rsid w:val="00B61E7F"/>
    <w:rsid w:val="00B61E83"/>
    <w:rsid w:val="00B62494"/>
    <w:rsid w:val="00B624AF"/>
    <w:rsid w:val="00B62534"/>
    <w:rsid w:val="00B6289B"/>
    <w:rsid w:val="00B633F9"/>
    <w:rsid w:val="00B63908"/>
    <w:rsid w:val="00B63FAA"/>
    <w:rsid w:val="00B63FC3"/>
    <w:rsid w:val="00B64154"/>
    <w:rsid w:val="00B64421"/>
    <w:rsid w:val="00B645B1"/>
    <w:rsid w:val="00B646DB"/>
    <w:rsid w:val="00B650A8"/>
    <w:rsid w:val="00B6539E"/>
    <w:rsid w:val="00B65465"/>
    <w:rsid w:val="00B659D0"/>
    <w:rsid w:val="00B65B87"/>
    <w:rsid w:val="00B65E7D"/>
    <w:rsid w:val="00B65E8E"/>
    <w:rsid w:val="00B6632F"/>
    <w:rsid w:val="00B678B6"/>
    <w:rsid w:val="00B67C74"/>
    <w:rsid w:val="00B702E3"/>
    <w:rsid w:val="00B7067F"/>
    <w:rsid w:val="00B707BE"/>
    <w:rsid w:val="00B70DB7"/>
    <w:rsid w:val="00B71D26"/>
    <w:rsid w:val="00B72470"/>
    <w:rsid w:val="00B72CB0"/>
    <w:rsid w:val="00B72CB4"/>
    <w:rsid w:val="00B72EB2"/>
    <w:rsid w:val="00B73634"/>
    <w:rsid w:val="00B73687"/>
    <w:rsid w:val="00B737E4"/>
    <w:rsid w:val="00B74CAA"/>
    <w:rsid w:val="00B75273"/>
    <w:rsid w:val="00B755CA"/>
    <w:rsid w:val="00B75644"/>
    <w:rsid w:val="00B75CE1"/>
    <w:rsid w:val="00B76059"/>
    <w:rsid w:val="00B76166"/>
    <w:rsid w:val="00B764A8"/>
    <w:rsid w:val="00B76752"/>
    <w:rsid w:val="00B768BD"/>
    <w:rsid w:val="00B76AC8"/>
    <w:rsid w:val="00B76B62"/>
    <w:rsid w:val="00B76E68"/>
    <w:rsid w:val="00B77191"/>
    <w:rsid w:val="00B776EC"/>
    <w:rsid w:val="00B77C91"/>
    <w:rsid w:val="00B77E00"/>
    <w:rsid w:val="00B77EF1"/>
    <w:rsid w:val="00B80391"/>
    <w:rsid w:val="00B804B7"/>
    <w:rsid w:val="00B804F9"/>
    <w:rsid w:val="00B80AA3"/>
    <w:rsid w:val="00B80F14"/>
    <w:rsid w:val="00B8103C"/>
    <w:rsid w:val="00B81715"/>
    <w:rsid w:val="00B8175C"/>
    <w:rsid w:val="00B817D9"/>
    <w:rsid w:val="00B81BCD"/>
    <w:rsid w:val="00B81DBE"/>
    <w:rsid w:val="00B821E0"/>
    <w:rsid w:val="00B82BEC"/>
    <w:rsid w:val="00B82ECF"/>
    <w:rsid w:val="00B82F29"/>
    <w:rsid w:val="00B83571"/>
    <w:rsid w:val="00B837D4"/>
    <w:rsid w:val="00B83D6B"/>
    <w:rsid w:val="00B84059"/>
    <w:rsid w:val="00B8421F"/>
    <w:rsid w:val="00B84350"/>
    <w:rsid w:val="00B8467C"/>
    <w:rsid w:val="00B8490C"/>
    <w:rsid w:val="00B84D02"/>
    <w:rsid w:val="00B854AD"/>
    <w:rsid w:val="00B85A06"/>
    <w:rsid w:val="00B85C54"/>
    <w:rsid w:val="00B8606D"/>
    <w:rsid w:val="00B86449"/>
    <w:rsid w:val="00B866BE"/>
    <w:rsid w:val="00B86761"/>
    <w:rsid w:val="00B867BB"/>
    <w:rsid w:val="00B869A2"/>
    <w:rsid w:val="00B86C46"/>
    <w:rsid w:val="00B8708A"/>
    <w:rsid w:val="00B87C2C"/>
    <w:rsid w:val="00B87F20"/>
    <w:rsid w:val="00B87FED"/>
    <w:rsid w:val="00B90424"/>
    <w:rsid w:val="00B9056C"/>
    <w:rsid w:val="00B9062F"/>
    <w:rsid w:val="00B9076B"/>
    <w:rsid w:val="00B90E60"/>
    <w:rsid w:val="00B90EB6"/>
    <w:rsid w:val="00B91209"/>
    <w:rsid w:val="00B91A96"/>
    <w:rsid w:val="00B91EA0"/>
    <w:rsid w:val="00B922A4"/>
    <w:rsid w:val="00B92BCE"/>
    <w:rsid w:val="00B92BD3"/>
    <w:rsid w:val="00B93810"/>
    <w:rsid w:val="00B93BCC"/>
    <w:rsid w:val="00B93FF0"/>
    <w:rsid w:val="00B95519"/>
    <w:rsid w:val="00B95D1D"/>
    <w:rsid w:val="00B963A5"/>
    <w:rsid w:val="00B963C6"/>
    <w:rsid w:val="00B963E3"/>
    <w:rsid w:val="00B967CE"/>
    <w:rsid w:val="00B9694B"/>
    <w:rsid w:val="00B96A1E"/>
    <w:rsid w:val="00B96CCE"/>
    <w:rsid w:val="00B977D9"/>
    <w:rsid w:val="00B97E67"/>
    <w:rsid w:val="00B97E6D"/>
    <w:rsid w:val="00B97ECC"/>
    <w:rsid w:val="00B97F64"/>
    <w:rsid w:val="00BA0190"/>
    <w:rsid w:val="00BA0C97"/>
    <w:rsid w:val="00BA0E1A"/>
    <w:rsid w:val="00BA1A21"/>
    <w:rsid w:val="00BA2482"/>
    <w:rsid w:val="00BA254A"/>
    <w:rsid w:val="00BA25B6"/>
    <w:rsid w:val="00BA266E"/>
    <w:rsid w:val="00BA2A75"/>
    <w:rsid w:val="00BA2AA5"/>
    <w:rsid w:val="00BA2C71"/>
    <w:rsid w:val="00BA31A3"/>
    <w:rsid w:val="00BA3380"/>
    <w:rsid w:val="00BA3435"/>
    <w:rsid w:val="00BA34CF"/>
    <w:rsid w:val="00BA357F"/>
    <w:rsid w:val="00BA36C3"/>
    <w:rsid w:val="00BA38EA"/>
    <w:rsid w:val="00BA3A80"/>
    <w:rsid w:val="00BA413B"/>
    <w:rsid w:val="00BA41F9"/>
    <w:rsid w:val="00BA4F50"/>
    <w:rsid w:val="00BA5452"/>
    <w:rsid w:val="00BA5E9C"/>
    <w:rsid w:val="00BA5EC4"/>
    <w:rsid w:val="00BA60FB"/>
    <w:rsid w:val="00BA6411"/>
    <w:rsid w:val="00BA679B"/>
    <w:rsid w:val="00BA6967"/>
    <w:rsid w:val="00BA6A7C"/>
    <w:rsid w:val="00BA6D44"/>
    <w:rsid w:val="00BA7069"/>
    <w:rsid w:val="00BA71B2"/>
    <w:rsid w:val="00BA725B"/>
    <w:rsid w:val="00BA7481"/>
    <w:rsid w:val="00BA792F"/>
    <w:rsid w:val="00BA7A7A"/>
    <w:rsid w:val="00BA7F6E"/>
    <w:rsid w:val="00BB0140"/>
    <w:rsid w:val="00BB0456"/>
    <w:rsid w:val="00BB091C"/>
    <w:rsid w:val="00BB0DDD"/>
    <w:rsid w:val="00BB0EEB"/>
    <w:rsid w:val="00BB1112"/>
    <w:rsid w:val="00BB1323"/>
    <w:rsid w:val="00BB1FDF"/>
    <w:rsid w:val="00BB256F"/>
    <w:rsid w:val="00BB269D"/>
    <w:rsid w:val="00BB26E9"/>
    <w:rsid w:val="00BB301E"/>
    <w:rsid w:val="00BB32AB"/>
    <w:rsid w:val="00BB3700"/>
    <w:rsid w:val="00BB3FAA"/>
    <w:rsid w:val="00BB590B"/>
    <w:rsid w:val="00BB5B57"/>
    <w:rsid w:val="00BB5E80"/>
    <w:rsid w:val="00BB5EFB"/>
    <w:rsid w:val="00BB6236"/>
    <w:rsid w:val="00BB70D4"/>
    <w:rsid w:val="00BB74F9"/>
    <w:rsid w:val="00BB7A34"/>
    <w:rsid w:val="00BB7A53"/>
    <w:rsid w:val="00BC0395"/>
    <w:rsid w:val="00BC0416"/>
    <w:rsid w:val="00BC0434"/>
    <w:rsid w:val="00BC1975"/>
    <w:rsid w:val="00BC1A04"/>
    <w:rsid w:val="00BC1E45"/>
    <w:rsid w:val="00BC2400"/>
    <w:rsid w:val="00BC27DE"/>
    <w:rsid w:val="00BC2C59"/>
    <w:rsid w:val="00BC33CC"/>
    <w:rsid w:val="00BC349F"/>
    <w:rsid w:val="00BC34CA"/>
    <w:rsid w:val="00BC3B61"/>
    <w:rsid w:val="00BC4409"/>
    <w:rsid w:val="00BC44A2"/>
    <w:rsid w:val="00BC44FA"/>
    <w:rsid w:val="00BC4B24"/>
    <w:rsid w:val="00BC5073"/>
    <w:rsid w:val="00BC5B40"/>
    <w:rsid w:val="00BC62EF"/>
    <w:rsid w:val="00BC6566"/>
    <w:rsid w:val="00BC7D0A"/>
    <w:rsid w:val="00BD0188"/>
    <w:rsid w:val="00BD03A8"/>
    <w:rsid w:val="00BD07A4"/>
    <w:rsid w:val="00BD0A40"/>
    <w:rsid w:val="00BD0A66"/>
    <w:rsid w:val="00BD135A"/>
    <w:rsid w:val="00BD1D13"/>
    <w:rsid w:val="00BD2106"/>
    <w:rsid w:val="00BD2316"/>
    <w:rsid w:val="00BD2C4C"/>
    <w:rsid w:val="00BD2CA9"/>
    <w:rsid w:val="00BD304A"/>
    <w:rsid w:val="00BD33AB"/>
    <w:rsid w:val="00BD348E"/>
    <w:rsid w:val="00BD3513"/>
    <w:rsid w:val="00BD3669"/>
    <w:rsid w:val="00BD3E90"/>
    <w:rsid w:val="00BD4440"/>
    <w:rsid w:val="00BD4676"/>
    <w:rsid w:val="00BD51D0"/>
    <w:rsid w:val="00BD5491"/>
    <w:rsid w:val="00BD58D8"/>
    <w:rsid w:val="00BD5E77"/>
    <w:rsid w:val="00BD5FA1"/>
    <w:rsid w:val="00BD60AB"/>
    <w:rsid w:val="00BD63FA"/>
    <w:rsid w:val="00BD68AD"/>
    <w:rsid w:val="00BD7140"/>
    <w:rsid w:val="00BD7200"/>
    <w:rsid w:val="00BD7E9E"/>
    <w:rsid w:val="00BD7EEA"/>
    <w:rsid w:val="00BD7FFE"/>
    <w:rsid w:val="00BE01A3"/>
    <w:rsid w:val="00BE0D7C"/>
    <w:rsid w:val="00BE0F85"/>
    <w:rsid w:val="00BE156C"/>
    <w:rsid w:val="00BE162C"/>
    <w:rsid w:val="00BE206F"/>
    <w:rsid w:val="00BE251B"/>
    <w:rsid w:val="00BE25BC"/>
    <w:rsid w:val="00BE2DC4"/>
    <w:rsid w:val="00BE320C"/>
    <w:rsid w:val="00BE3675"/>
    <w:rsid w:val="00BE370D"/>
    <w:rsid w:val="00BE38E2"/>
    <w:rsid w:val="00BE4166"/>
    <w:rsid w:val="00BE4278"/>
    <w:rsid w:val="00BE428C"/>
    <w:rsid w:val="00BE43BE"/>
    <w:rsid w:val="00BE4F35"/>
    <w:rsid w:val="00BE4F55"/>
    <w:rsid w:val="00BE523A"/>
    <w:rsid w:val="00BE5691"/>
    <w:rsid w:val="00BE592D"/>
    <w:rsid w:val="00BE6185"/>
    <w:rsid w:val="00BE69F7"/>
    <w:rsid w:val="00BE6CA6"/>
    <w:rsid w:val="00BE6E41"/>
    <w:rsid w:val="00BE7310"/>
    <w:rsid w:val="00BE7340"/>
    <w:rsid w:val="00BE764C"/>
    <w:rsid w:val="00BE7783"/>
    <w:rsid w:val="00BE7A84"/>
    <w:rsid w:val="00BF0087"/>
    <w:rsid w:val="00BF0D22"/>
    <w:rsid w:val="00BF0E3C"/>
    <w:rsid w:val="00BF0EA7"/>
    <w:rsid w:val="00BF161A"/>
    <w:rsid w:val="00BF1834"/>
    <w:rsid w:val="00BF1F1F"/>
    <w:rsid w:val="00BF202A"/>
    <w:rsid w:val="00BF26E2"/>
    <w:rsid w:val="00BF30FF"/>
    <w:rsid w:val="00BF336A"/>
    <w:rsid w:val="00BF3636"/>
    <w:rsid w:val="00BF3F18"/>
    <w:rsid w:val="00BF4825"/>
    <w:rsid w:val="00BF4ECE"/>
    <w:rsid w:val="00BF5341"/>
    <w:rsid w:val="00BF540C"/>
    <w:rsid w:val="00BF5D9F"/>
    <w:rsid w:val="00BF5F36"/>
    <w:rsid w:val="00BF62A9"/>
    <w:rsid w:val="00BF6351"/>
    <w:rsid w:val="00BF63B2"/>
    <w:rsid w:val="00BF68D8"/>
    <w:rsid w:val="00BF6AD6"/>
    <w:rsid w:val="00BF6CBF"/>
    <w:rsid w:val="00BF6D20"/>
    <w:rsid w:val="00BF708D"/>
    <w:rsid w:val="00BF7AB7"/>
    <w:rsid w:val="00BF7D7A"/>
    <w:rsid w:val="00C00026"/>
    <w:rsid w:val="00C00027"/>
    <w:rsid w:val="00C003DF"/>
    <w:rsid w:val="00C014BE"/>
    <w:rsid w:val="00C0161F"/>
    <w:rsid w:val="00C0191E"/>
    <w:rsid w:val="00C023F0"/>
    <w:rsid w:val="00C026C1"/>
    <w:rsid w:val="00C02D4B"/>
    <w:rsid w:val="00C030FD"/>
    <w:rsid w:val="00C03675"/>
    <w:rsid w:val="00C03A3C"/>
    <w:rsid w:val="00C03A50"/>
    <w:rsid w:val="00C0444E"/>
    <w:rsid w:val="00C045FB"/>
    <w:rsid w:val="00C04D05"/>
    <w:rsid w:val="00C04E52"/>
    <w:rsid w:val="00C04F29"/>
    <w:rsid w:val="00C05155"/>
    <w:rsid w:val="00C05E36"/>
    <w:rsid w:val="00C05E71"/>
    <w:rsid w:val="00C064D9"/>
    <w:rsid w:val="00C065B3"/>
    <w:rsid w:val="00C066E6"/>
    <w:rsid w:val="00C06BAF"/>
    <w:rsid w:val="00C06CEA"/>
    <w:rsid w:val="00C0770C"/>
    <w:rsid w:val="00C0784C"/>
    <w:rsid w:val="00C078EB"/>
    <w:rsid w:val="00C07D04"/>
    <w:rsid w:val="00C1008A"/>
    <w:rsid w:val="00C10668"/>
    <w:rsid w:val="00C1085A"/>
    <w:rsid w:val="00C10DAC"/>
    <w:rsid w:val="00C10F0C"/>
    <w:rsid w:val="00C112EF"/>
    <w:rsid w:val="00C11375"/>
    <w:rsid w:val="00C125AB"/>
    <w:rsid w:val="00C13A8D"/>
    <w:rsid w:val="00C13B54"/>
    <w:rsid w:val="00C13BC1"/>
    <w:rsid w:val="00C13F07"/>
    <w:rsid w:val="00C1417C"/>
    <w:rsid w:val="00C141E6"/>
    <w:rsid w:val="00C14E0F"/>
    <w:rsid w:val="00C1504C"/>
    <w:rsid w:val="00C1516F"/>
    <w:rsid w:val="00C15543"/>
    <w:rsid w:val="00C158E1"/>
    <w:rsid w:val="00C15EAD"/>
    <w:rsid w:val="00C16995"/>
    <w:rsid w:val="00C169FD"/>
    <w:rsid w:val="00C172B2"/>
    <w:rsid w:val="00C17644"/>
    <w:rsid w:val="00C176F9"/>
    <w:rsid w:val="00C17839"/>
    <w:rsid w:val="00C17AED"/>
    <w:rsid w:val="00C201C9"/>
    <w:rsid w:val="00C204D1"/>
    <w:rsid w:val="00C20659"/>
    <w:rsid w:val="00C20B8A"/>
    <w:rsid w:val="00C20BB0"/>
    <w:rsid w:val="00C20D66"/>
    <w:rsid w:val="00C21A10"/>
    <w:rsid w:val="00C21A68"/>
    <w:rsid w:val="00C21C3E"/>
    <w:rsid w:val="00C2215A"/>
    <w:rsid w:val="00C224A6"/>
    <w:rsid w:val="00C22610"/>
    <w:rsid w:val="00C22682"/>
    <w:rsid w:val="00C22860"/>
    <w:rsid w:val="00C229D8"/>
    <w:rsid w:val="00C22B1B"/>
    <w:rsid w:val="00C2366C"/>
    <w:rsid w:val="00C23C46"/>
    <w:rsid w:val="00C23DB7"/>
    <w:rsid w:val="00C24175"/>
    <w:rsid w:val="00C24AC7"/>
    <w:rsid w:val="00C24D85"/>
    <w:rsid w:val="00C24DE0"/>
    <w:rsid w:val="00C25099"/>
    <w:rsid w:val="00C2557D"/>
    <w:rsid w:val="00C257A9"/>
    <w:rsid w:val="00C26EE9"/>
    <w:rsid w:val="00C27772"/>
    <w:rsid w:val="00C27CCE"/>
    <w:rsid w:val="00C27F3D"/>
    <w:rsid w:val="00C3016C"/>
    <w:rsid w:val="00C303E8"/>
    <w:rsid w:val="00C30707"/>
    <w:rsid w:val="00C307F4"/>
    <w:rsid w:val="00C314CB"/>
    <w:rsid w:val="00C3199E"/>
    <w:rsid w:val="00C319D6"/>
    <w:rsid w:val="00C32389"/>
    <w:rsid w:val="00C32E55"/>
    <w:rsid w:val="00C32F04"/>
    <w:rsid w:val="00C33033"/>
    <w:rsid w:val="00C33AAF"/>
    <w:rsid w:val="00C34171"/>
    <w:rsid w:val="00C342E1"/>
    <w:rsid w:val="00C34CA2"/>
    <w:rsid w:val="00C35210"/>
    <w:rsid w:val="00C35435"/>
    <w:rsid w:val="00C3668C"/>
    <w:rsid w:val="00C36863"/>
    <w:rsid w:val="00C405BE"/>
    <w:rsid w:val="00C41026"/>
    <w:rsid w:val="00C41450"/>
    <w:rsid w:val="00C41756"/>
    <w:rsid w:val="00C4190D"/>
    <w:rsid w:val="00C41BAB"/>
    <w:rsid w:val="00C41BDA"/>
    <w:rsid w:val="00C4258E"/>
    <w:rsid w:val="00C42DCB"/>
    <w:rsid w:val="00C431B4"/>
    <w:rsid w:val="00C432EF"/>
    <w:rsid w:val="00C4355E"/>
    <w:rsid w:val="00C437DA"/>
    <w:rsid w:val="00C44142"/>
    <w:rsid w:val="00C44B1A"/>
    <w:rsid w:val="00C44BE8"/>
    <w:rsid w:val="00C451FC"/>
    <w:rsid w:val="00C452AC"/>
    <w:rsid w:val="00C45B86"/>
    <w:rsid w:val="00C46337"/>
    <w:rsid w:val="00C4685B"/>
    <w:rsid w:val="00C46875"/>
    <w:rsid w:val="00C46A5E"/>
    <w:rsid w:val="00C47355"/>
    <w:rsid w:val="00C474E9"/>
    <w:rsid w:val="00C479A1"/>
    <w:rsid w:val="00C500A3"/>
    <w:rsid w:val="00C50440"/>
    <w:rsid w:val="00C50E53"/>
    <w:rsid w:val="00C51384"/>
    <w:rsid w:val="00C514F8"/>
    <w:rsid w:val="00C51D6A"/>
    <w:rsid w:val="00C52368"/>
    <w:rsid w:val="00C52FE8"/>
    <w:rsid w:val="00C53335"/>
    <w:rsid w:val="00C5411A"/>
    <w:rsid w:val="00C545FA"/>
    <w:rsid w:val="00C54850"/>
    <w:rsid w:val="00C549AE"/>
    <w:rsid w:val="00C54CA3"/>
    <w:rsid w:val="00C55477"/>
    <w:rsid w:val="00C563CD"/>
    <w:rsid w:val="00C5665B"/>
    <w:rsid w:val="00C568BB"/>
    <w:rsid w:val="00C56C25"/>
    <w:rsid w:val="00C56CDB"/>
    <w:rsid w:val="00C57663"/>
    <w:rsid w:val="00C578F4"/>
    <w:rsid w:val="00C57D2E"/>
    <w:rsid w:val="00C57D83"/>
    <w:rsid w:val="00C57E7D"/>
    <w:rsid w:val="00C605EB"/>
    <w:rsid w:val="00C609B1"/>
    <w:rsid w:val="00C60F1C"/>
    <w:rsid w:val="00C6136E"/>
    <w:rsid w:val="00C61808"/>
    <w:rsid w:val="00C61D43"/>
    <w:rsid w:val="00C620A3"/>
    <w:rsid w:val="00C620DE"/>
    <w:rsid w:val="00C624EA"/>
    <w:rsid w:val="00C6261A"/>
    <w:rsid w:val="00C6280B"/>
    <w:rsid w:val="00C62A0E"/>
    <w:rsid w:val="00C62D2B"/>
    <w:rsid w:val="00C63020"/>
    <w:rsid w:val="00C63273"/>
    <w:rsid w:val="00C64289"/>
    <w:rsid w:val="00C647ED"/>
    <w:rsid w:val="00C64F77"/>
    <w:rsid w:val="00C65485"/>
    <w:rsid w:val="00C65A42"/>
    <w:rsid w:val="00C65F8F"/>
    <w:rsid w:val="00C6688F"/>
    <w:rsid w:val="00C67066"/>
    <w:rsid w:val="00C677D9"/>
    <w:rsid w:val="00C67972"/>
    <w:rsid w:val="00C67AA3"/>
    <w:rsid w:val="00C701D7"/>
    <w:rsid w:val="00C705F7"/>
    <w:rsid w:val="00C70EBE"/>
    <w:rsid w:val="00C714A1"/>
    <w:rsid w:val="00C71900"/>
    <w:rsid w:val="00C71954"/>
    <w:rsid w:val="00C71A04"/>
    <w:rsid w:val="00C71A41"/>
    <w:rsid w:val="00C72475"/>
    <w:rsid w:val="00C7284F"/>
    <w:rsid w:val="00C72C57"/>
    <w:rsid w:val="00C72CE5"/>
    <w:rsid w:val="00C72D03"/>
    <w:rsid w:val="00C730D1"/>
    <w:rsid w:val="00C732A3"/>
    <w:rsid w:val="00C73682"/>
    <w:rsid w:val="00C73A8C"/>
    <w:rsid w:val="00C73DBE"/>
    <w:rsid w:val="00C74595"/>
    <w:rsid w:val="00C74884"/>
    <w:rsid w:val="00C749D2"/>
    <w:rsid w:val="00C74D45"/>
    <w:rsid w:val="00C74FC6"/>
    <w:rsid w:val="00C7515C"/>
    <w:rsid w:val="00C75E56"/>
    <w:rsid w:val="00C766AB"/>
    <w:rsid w:val="00C76774"/>
    <w:rsid w:val="00C76918"/>
    <w:rsid w:val="00C76AF5"/>
    <w:rsid w:val="00C77062"/>
    <w:rsid w:val="00C7722B"/>
    <w:rsid w:val="00C7722C"/>
    <w:rsid w:val="00C7739D"/>
    <w:rsid w:val="00C775A6"/>
    <w:rsid w:val="00C80CC4"/>
    <w:rsid w:val="00C811C9"/>
    <w:rsid w:val="00C812E5"/>
    <w:rsid w:val="00C81591"/>
    <w:rsid w:val="00C81819"/>
    <w:rsid w:val="00C81EF2"/>
    <w:rsid w:val="00C820CF"/>
    <w:rsid w:val="00C82224"/>
    <w:rsid w:val="00C82255"/>
    <w:rsid w:val="00C82DE1"/>
    <w:rsid w:val="00C8302E"/>
    <w:rsid w:val="00C8381D"/>
    <w:rsid w:val="00C83A6A"/>
    <w:rsid w:val="00C84336"/>
    <w:rsid w:val="00C847A5"/>
    <w:rsid w:val="00C84A3E"/>
    <w:rsid w:val="00C84D55"/>
    <w:rsid w:val="00C8544F"/>
    <w:rsid w:val="00C858BD"/>
    <w:rsid w:val="00C85BF0"/>
    <w:rsid w:val="00C85D34"/>
    <w:rsid w:val="00C8654D"/>
    <w:rsid w:val="00C87907"/>
    <w:rsid w:val="00C902B4"/>
    <w:rsid w:val="00C90689"/>
    <w:rsid w:val="00C90B7A"/>
    <w:rsid w:val="00C91287"/>
    <w:rsid w:val="00C91949"/>
    <w:rsid w:val="00C91FB7"/>
    <w:rsid w:val="00C923B0"/>
    <w:rsid w:val="00C9255F"/>
    <w:rsid w:val="00C92615"/>
    <w:rsid w:val="00C9295B"/>
    <w:rsid w:val="00C93B96"/>
    <w:rsid w:val="00C93D11"/>
    <w:rsid w:val="00C94830"/>
    <w:rsid w:val="00C94D11"/>
    <w:rsid w:val="00C94D13"/>
    <w:rsid w:val="00C95056"/>
    <w:rsid w:val="00C952DA"/>
    <w:rsid w:val="00C95385"/>
    <w:rsid w:val="00C95828"/>
    <w:rsid w:val="00C95A24"/>
    <w:rsid w:val="00C95EF0"/>
    <w:rsid w:val="00C96170"/>
    <w:rsid w:val="00C96291"/>
    <w:rsid w:val="00C964A4"/>
    <w:rsid w:val="00C96F5F"/>
    <w:rsid w:val="00C97DE5"/>
    <w:rsid w:val="00C97F3C"/>
    <w:rsid w:val="00CA01C4"/>
    <w:rsid w:val="00CA05B2"/>
    <w:rsid w:val="00CA0660"/>
    <w:rsid w:val="00CA0879"/>
    <w:rsid w:val="00CA090F"/>
    <w:rsid w:val="00CA0914"/>
    <w:rsid w:val="00CA138E"/>
    <w:rsid w:val="00CA16C5"/>
    <w:rsid w:val="00CA1CFF"/>
    <w:rsid w:val="00CA1ED3"/>
    <w:rsid w:val="00CA25ED"/>
    <w:rsid w:val="00CA3BE6"/>
    <w:rsid w:val="00CA4554"/>
    <w:rsid w:val="00CA458D"/>
    <w:rsid w:val="00CA4A72"/>
    <w:rsid w:val="00CA4A86"/>
    <w:rsid w:val="00CA4FE4"/>
    <w:rsid w:val="00CA50C5"/>
    <w:rsid w:val="00CA51E3"/>
    <w:rsid w:val="00CA5307"/>
    <w:rsid w:val="00CA5DF9"/>
    <w:rsid w:val="00CA6133"/>
    <w:rsid w:val="00CA61B0"/>
    <w:rsid w:val="00CA638F"/>
    <w:rsid w:val="00CA6679"/>
    <w:rsid w:val="00CA66C0"/>
    <w:rsid w:val="00CA7043"/>
    <w:rsid w:val="00CA7276"/>
    <w:rsid w:val="00CA77A6"/>
    <w:rsid w:val="00CA7F62"/>
    <w:rsid w:val="00CA7F9E"/>
    <w:rsid w:val="00CB032C"/>
    <w:rsid w:val="00CB0594"/>
    <w:rsid w:val="00CB11C7"/>
    <w:rsid w:val="00CB1882"/>
    <w:rsid w:val="00CB1F7D"/>
    <w:rsid w:val="00CB21E9"/>
    <w:rsid w:val="00CB220A"/>
    <w:rsid w:val="00CB2CFD"/>
    <w:rsid w:val="00CB2E57"/>
    <w:rsid w:val="00CB323E"/>
    <w:rsid w:val="00CB39F2"/>
    <w:rsid w:val="00CB3CF6"/>
    <w:rsid w:val="00CB47F5"/>
    <w:rsid w:val="00CB49E7"/>
    <w:rsid w:val="00CB4A2E"/>
    <w:rsid w:val="00CB4C0B"/>
    <w:rsid w:val="00CB5860"/>
    <w:rsid w:val="00CB5E57"/>
    <w:rsid w:val="00CB5F86"/>
    <w:rsid w:val="00CB60FF"/>
    <w:rsid w:val="00CB6442"/>
    <w:rsid w:val="00CB6A8D"/>
    <w:rsid w:val="00CB6B49"/>
    <w:rsid w:val="00CB6F28"/>
    <w:rsid w:val="00CB71FD"/>
    <w:rsid w:val="00CB7A5E"/>
    <w:rsid w:val="00CC00F8"/>
    <w:rsid w:val="00CC05B6"/>
    <w:rsid w:val="00CC07C1"/>
    <w:rsid w:val="00CC09BB"/>
    <w:rsid w:val="00CC1103"/>
    <w:rsid w:val="00CC11BE"/>
    <w:rsid w:val="00CC1232"/>
    <w:rsid w:val="00CC1305"/>
    <w:rsid w:val="00CC159E"/>
    <w:rsid w:val="00CC1780"/>
    <w:rsid w:val="00CC1BBF"/>
    <w:rsid w:val="00CC1F70"/>
    <w:rsid w:val="00CC21C5"/>
    <w:rsid w:val="00CC2211"/>
    <w:rsid w:val="00CC2A6B"/>
    <w:rsid w:val="00CC324E"/>
    <w:rsid w:val="00CC32C6"/>
    <w:rsid w:val="00CC361B"/>
    <w:rsid w:val="00CC38B9"/>
    <w:rsid w:val="00CC4362"/>
    <w:rsid w:val="00CC472E"/>
    <w:rsid w:val="00CC4B72"/>
    <w:rsid w:val="00CC4E0D"/>
    <w:rsid w:val="00CC51BC"/>
    <w:rsid w:val="00CC55A9"/>
    <w:rsid w:val="00CC5DFC"/>
    <w:rsid w:val="00CC601B"/>
    <w:rsid w:val="00CC69A3"/>
    <w:rsid w:val="00CC72AD"/>
    <w:rsid w:val="00CC7802"/>
    <w:rsid w:val="00CC7ADA"/>
    <w:rsid w:val="00CC7E84"/>
    <w:rsid w:val="00CC7F17"/>
    <w:rsid w:val="00CD0036"/>
    <w:rsid w:val="00CD01D8"/>
    <w:rsid w:val="00CD0273"/>
    <w:rsid w:val="00CD02F1"/>
    <w:rsid w:val="00CD076F"/>
    <w:rsid w:val="00CD0E0A"/>
    <w:rsid w:val="00CD11C5"/>
    <w:rsid w:val="00CD1356"/>
    <w:rsid w:val="00CD17A5"/>
    <w:rsid w:val="00CD29EE"/>
    <w:rsid w:val="00CD2B30"/>
    <w:rsid w:val="00CD2FE1"/>
    <w:rsid w:val="00CD31E9"/>
    <w:rsid w:val="00CD33E2"/>
    <w:rsid w:val="00CD3A40"/>
    <w:rsid w:val="00CD3CA3"/>
    <w:rsid w:val="00CD4272"/>
    <w:rsid w:val="00CD48AA"/>
    <w:rsid w:val="00CD53B1"/>
    <w:rsid w:val="00CD53C7"/>
    <w:rsid w:val="00CD575D"/>
    <w:rsid w:val="00CD57C2"/>
    <w:rsid w:val="00CD5B39"/>
    <w:rsid w:val="00CD6468"/>
    <w:rsid w:val="00CD654E"/>
    <w:rsid w:val="00CD6B7F"/>
    <w:rsid w:val="00CD7038"/>
    <w:rsid w:val="00CD796B"/>
    <w:rsid w:val="00CD7AF6"/>
    <w:rsid w:val="00CD7F76"/>
    <w:rsid w:val="00CE0EF3"/>
    <w:rsid w:val="00CE1461"/>
    <w:rsid w:val="00CE254B"/>
    <w:rsid w:val="00CE2A14"/>
    <w:rsid w:val="00CE3A18"/>
    <w:rsid w:val="00CE3CB1"/>
    <w:rsid w:val="00CE3D28"/>
    <w:rsid w:val="00CE3FB9"/>
    <w:rsid w:val="00CE4078"/>
    <w:rsid w:val="00CE4107"/>
    <w:rsid w:val="00CE4139"/>
    <w:rsid w:val="00CE48AF"/>
    <w:rsid w:val="00CE503A"/>
    <w:rsid w:val="00CE551B"/>
    <w:rsid w:val="00CE5610"/>
    <w:rsid w:val="00CE56D3"/>
    <w:rsid w:val="00CE572E"/>
    <w:rsid w:val="00CE5812"/>
    <w:rsid w:val="00CE59FE"/>
    <w:rsid w:val="00CE5B90"/>
    <w:rsid w:val="00CE5D51"/>
    <w:rsid w:val="00CE5FDD"/>
    <w:rsid w:val="00CE6408"/>
    <w:rsid w:val="00CE6553"/>
    <w:rsid w:val="00CE68DD"/>
    <w:rsid w:val="00CE69AE"/>
    <w:rsid w:val="00CE6E28"/>
    <w:rsid w:val="00CE7467"/>
    <w:rsid w:val="00CE74DD"/>
    <w:rsid w:val="00CE752E"/>
    <w:rsid w:val="00CE7841"/>
    <w:rsid w:val="00CE7E9F"/>
    <w:rsid w:val="00CF0482"/>
    <w:rsid w:val="00CF0BBA"/>
    <w:rsid w:val="00CF0EA2"/>
    <w:rsid w:val="00CF0F4F"/>
    <w:rsid w:val="00CF10CF"/>
    <w:rsid w:val="00CF16E3"/>
    <w:rsid w:val="00CF24F9"/>
    <w:rsid w:val="00CF29CB"/>
    <w:rsid w:val="00CF2BD7"/>
    <w:rsid w:val="00CF2CD8"/>
    <w:rsid w:val="00CF2F70"/>
    <w:rsid w:val="00CF32A6"/>
    <w:rsid w:val="00CF3764"/>
    <w:rsid w:val="00CF3902"/>
    <w:rsid w:val="00CF3A35"/>
    <w:rsid w:val="00CF4422"/>
    <w:rsid w:val="00CF4500"/>
    <w:rsid w:val="00CF4548"/>
    <w:rsid w:val="00CF4EEF"/>
    <w:rsid w:val="00CF4F48"/>
    <w:rsid w:val="00CF51E4"/>
    <w:rsid w:val="00CF51EE"/>
    <w:rsid w:val="00CF53EF"/>
    <w:rsid w:val="00CF5A4C"/>
    <w:rsid w:val="00CF5FA6"/>
    <w:rsid w:val="00CF6015"/>
    <w:rsid w:val="00CF634C"/>
    <w:rsid w:val="00CF69B3"/>
    <w:rsid w:val="00CF69CE"/>
    <w:rsid w:val="00CF6A0B"/>
    <w:rsid w:val="00CF7038"/>
    <w:rsid w:val="00CF74C2"/>
    <w:rsid w:val="00CF7B7B"/>
    <w:rsid w:val="00D00440"/>
    <w:rsid w:val="00D004BA"/>
    <w:rsid w:val="00D00CD7"/>
    <w:rsid w:val="00D00EF5"/>
    <w:rsid w:val="00D00F5B"/>
    <w:rsid w:val="00D010C4"/>
    <w:rsid w:val="00D011DD"/>
    <w:rsid w:val="00D0163B"/>
    <w:rsid w:val="00D01988"/>
    <w:rsid w:val="00D0209C"/>
    <w:rsid w:val="00D02565"/>
    <w:rsid w:val="00D02904"/>
    <w:rsid w:val="00D02A68"/>
    <w:rsid w:val="00D02ABB"/>
    <w:rsid w:val="00D0348B"/>
    <w:rsid w:val="00D0359B"/>
    <w:rsid w:val="00D03705"/>
    <w:rsid w:val="00D038BB"/>
    <w:rsid w:val="00D03A90"/>
    <w:rsid w:val="00D03CCF"/>
    <w:rsid w:val="00D041C2"/>
    <w:rsid w:val="00D04270"/>
    <w:rsid w:val="00D043BB"/>
    <w:rsid w:val="00D0451B"/>
    <w:rsid w:val="00D04899"/>
    <w:rsid w:val="00D04C3F"/>
    <w:rsid w:val="00D05050"/>
    <w:rsid w:val="00D05D63"/>
    <w:rsid w:val="00D05D96"/>
    <w:rsid w:val="00D05DE9"/>
    <w:rsid w:val="00D05EAD"/>
    <w:rsid w:val="00D06620"/>
    <w:rsid w:val="00D06D4F"/>
    <w:rsid w:val="00D07E4E"/>
    <w:rsid w:val="00D100A1"/>
    <w:rsid w:val="00D1041B"/>
    <w:rsid w:val="00D105A0"/>
    <w:rsid w:val="00D107AA"/>
    <w:rsid w:val="00D10D3E"/>
    <w:rsid w:val="00D11481"/>
    <w:rsid w:val="00D11799"/>
    <w:rsid w:val="00D11884"/>
    <w:rsid w:val="00D1191E"/>
    <w:rsid w:val="00D11C18"/>
    <w:rsid w:val="00D1200C"/>
    <w:rsid w:val="00D12201"/>
    <w:rsid w:val="00D12BF8"/>
    <w:rsid w:val="00D12E26"/>
    <w:rsid w:val="00D13164"/>
    <w:rsid w:val="00D1341F"/>
    <w:rsid w:val="00D134A8"/>
    <w:rsid w:val="00D13FB4"/>
    <w:rsid w:val="00D144DA"/>
    <w:rsid w:val="00D14565"/>
    <w:rsid w:val="00D147A5"/>
    <w:rsid w:val="00D154B3"/>
    <w:rsid w:val="00D156D2"/>
    <w:rsid w:val="00D15B55"/>
    <w:rsid w:val="00D15EF3"/>
    <w:rsid w:val="00D1633E"/>
    <w:rsid w:val="00D16ACA"/>
    <w:rsid w:val="00D16CE4"/>
    <w:rsid w:val="00D16D28"/>
    <w:rsid w:val="00D16E9A"/>
    <w:rsid w:val="00D176C4"/>
    <w:rsid w:val="00D17D2D"/>
    <w:rsid w:val="00D17FD5"/>
    <w:rsid w:val="00D20D56"/>
    <w:rsid w:val="00D21377"/>
    <w:rsid w:val="00D2155A"/>
    <w:rsid w:val="00D216F5"/>
    <w:rsid w:val="00D2366F"/>
    <w:rsid w:val="00D236CC"/>
    <w:rsid w:val="00D23D83"/>
    <w:rsid w:val="00D243AC"/>
    <w:rsid w:val="00D2451E"/>
    <w:rsid w:val="00D247BC"/>
    <w:rsid w:val="00D25C92"/>
    <w:rsid w:val="00D25E8B"/>
    <w:rsid w:val="00D2640F"/>
    <w:rsid w:val="00D26A33"/>
    <w:rsid w:val="00D26CAF"/>
    <w:rsid w:val="00D27109"/>
    <w:rsid w:val="00D27226"/>
    <w:rsid w:val="00D2741F"/>
    <w:rsid w:val="00D274F9"/>
    <w:rsid w:val="00D3053F"/>
    <w:rsid w:val="00D306C1"/>
    <w:rsid w:val="00D3099D"/>
    <w:rsid w:val="00D30B12"/>
    <w:rsid w:val="00D30B89"/>
    <w:rsid w:val="00D313C3"/>
    <w:rsid w:val="00D31D33"/>
    <w:rsid w:val="00D32166"/>
    <w:rsid w:val="00D322F7"/>
    <w:rsid w:val="00D32659"/>
    <w:rsid w:val="00D32833"/>
    <w:rsid w:val="00D32C0A"/>
    <w:rsid w:val="00D337CB"/>
    <w:rsid w:val="00D33ED0"/>
    <w:rsid w:val="00D33F4B"/>
    <w:rsid w:val="00D34328"/>
    <w:rsid w:val="00D34B11"/>
    <w:rsid w:val="00D352F6"/>
    <w:rsid w:val="00D356C1"/>
    <w:rsid w:val="00D3594C"/>
    <w:rsid w:val="00D35FE4"/>
    <w:rsid w:val="00D36839"/>
    <w:rsid w:val="00D368B2"/>
    <w:rsid w:val="00D368D7"/>
    <w:rsid w:val="00D36EBB"/>
    <w:rsid w:val="00D37343"/>
    <w:rsid w:val="00D37C31"/>
    <w:rsid w:val="00D40001"/>
    <w:rsid w:val="00D40556"/>
    <w:rsid w:val="00D40A4E"/>
    <w:rsid w:val="00D41282"/>
    <w:rsid w:val="00D41494"/>
    <w:rsid w:val="00D415FA"/>
    <w:rsid w:val="00D4181A"/>
    <w:rsid w:val="00D41D8E"/>
    <w:rsid w:val="00D42009"/>
    <w:rsid w:val="00D429B6"/>
    <w:rsid w:val="00D430A0"/>
    <w:rsid w:val="00D4382B"/>
    <w:rsid w:val="00D4385C"/>
    <w:rsid w:val="00D43EC0"/>
    <w:rsid w:val="00D4418F"/>
    <w:rsid w:val="00D442FD"/>
    <w:rsid w:val="00D456D6"/>
    <w:rsid w:val="00D45AFE"/>
    <w:rsid w:val="00D45BAF"/>
    <w:rsid w:val="00D4670F"/>
    <w:rsid w:val="00D46B5E"/>
    <w:rsid w:val="00D46EDA"/>
    <w:rsid w:val="00D47287"/>
    <w:rsid w:val="00D47F6C"/>
    <w:rsid w:val="00D502F5"/>
    <w:rsid w:val="00D50676"/>
    <w:rsid w:val="00D5083C"/>
    <w:rsid w:val="00D50A1B"/>
    <w:rsid w:val="00D50B29"/>
    <w:rsid w:val="00D50C51"/>
    <w:rsid w:val="00D50DD3"/>
    <w:rsid w:val="00D51688"/>
    <w:rsid w:val="00D524C8"/>
    <w:rsid w:val="00D52903"/>
    <w:rsid w:val="00D529F9"/>
    <w:rsid w:val="00D5313F"/>
    <w:rsid w:val="00D53BB3"/>
    <w:rsid w:val="00D53F01"/>
    <w:rsid w:val="00D5427E"/>
    <w:rsid w:val="00D543E1"/>
    <w:rsid w:val="00D54620"/>
    <w:rsid w:val="00D54F63"/>
    <w:rsid w:val="00D55089"/>
    <w:rsid w:val="00D5581B"/>
    <w:rsid w:val="00D55962"/>
    <w:rsid w:val="00D55A02"/>
    <w:rsid w:val="00D55D19"/>
    <w:rsid w:val="00D55E23"/>
    <w:rsid w:val="00D5613C"/>
    <w:rsid w:val="00D56E96"/>
    <w:rsid w:val="00D56ED1"/>
    <w:rsid w:val="00D56F9B"/>
    <w:rsid w:val="00D570B6"/>
    <w:rsid w:val="00D57506"/>
    <w:rsid w:val="00D5753F"/>
    <w:rsid w:val="00D57D8F"/>
    <w:rsid w:val="00D60398"/>
    <w:rsid w:val="00D603A2"/>
    <w:rsid w:val="00D60EF6"/>
    <w:rsid w:val="00D626B0"/>
    <w:rsid w:val="00D6293F"/>
    <w:rsid w:val="00D62AC1"/>
    <w:rsid w:val="00D62B59"/>
    <w:rsid w:val="00D62D5B"/>
    <w:rsid w:val="00D6387F"/>
    <w:rsid w:val="00D63AAB"/>
    <w:rsid w:val="00D63B3C"/>
    <w:rsid w:val="00D63BF2"/>
    <w:rsid w:val="00D63F87"/>
    <w:rsid w:val="00D643DB"/>
    <w:rsid w:val="00D64B77"/>
    <w:rsid w:val="00D650A0"/>
    <w:rsid w:val="00D652FF"/>
    <w:rsid w:val="00D65E85"/>
    <w:rsid w:val="00D65FA3"/>
    <w:rsid w:val="00D6656B"/>
    <w:rsid w:val="00D67A6C"/>
    <w:rsid w:val="00D67D3A"/>
    <w:rsid w:val="00D70531"/>
    <w:rsid w:val="00D709F5"/>
    <w:rsid w:val="00D711A3"/>
    <w:rsid w:val="00D7164B"/>
    <w:rsid w:val="00D719C0"/>
    <w:rsid w:val="00D71A4D"/>
    <w:rsid w:val="00D71E52"/>
    <w:rsid w:val="00D71F42"/>
    <w:rsid w:val="00D7245E"/>
    <w:rsid w:val="00D724FE"/>
    <w:rsid w:val="00D733C1"/>
    <w:rsid w:val="00D7353A"/>
    <w:rsid w:val="00D735D4"/>
    <w:rsid w:val="00D7362F"/>
    <w:rsid w:val="00D73697"/>
    <w:rsid w:val="00D73B37"/>
    <w:rsid w:val="00D73D95"/>
    <w:rsid w:val="00D741E5"/>
    <w:rsid w:val="00D7449C"/>
    <w:rsid w:val="00D74ECA"/>
    <w:rsid w:val="00D750E7"/>
    <w:rsid w:val="00D753F9"/>
    <w:rsid w:val="00D755D2"/>
    <w:rsid w:val="00D75625"/>
    <w:rsid w:val="00D758FF"/>
    <w:rsid w:val="00D7608E"/>
    <w:rsid w:val="00D76446"/>
    <w:rsid w:val="00D76908"/>
    <w:rsid w:val="00D76A1B"/>
    <w:rsid w:val="00D76B4C"/>
    <w:rsid w:val="00D76E58"/>
    <w:rsid w:val="00D77283"/>
    <w:rsid w:val="00D7748F"/>
    <w:rsid w:val="00D77690"/>
    <w:rsid w:val="00D77895"/>
    <w:rsid w:val="00D8037D"/>
    <w:rsid w:val="00D8061F"/>
    <w:rsid w:val="00D808C9"/>
    <w:rsid w:val="00D816BE"/>
    <w:rsid w:val="00D8219B"/>
    <w:rsid w:val="00D825ED"/>
    <w:rsid w:val="00D827CB"/>
    <w:rsid w:val="00D82F74"/>
    <w:rsid w:val="00D8324F"/>
    <w:rsid w:val="00D8343A"/>
    <w:rsid w:val="00D845A4"/>
    <w:rsid w:val="00D846F0"/>
    <w:rsid w:val="00D84928"/>
    <w:rsid w:val="00D84E21"/>
    <w:rsid w:val="00D85556"/>
    <w:rsid w:val="00D85D20"/>
    <w:rsid w:val="00D86A40"/>
    <w:rsid w:val="00D86D8C"/>
    <w:rsid w:val="00D86F1E"/>
    <w:rsid w:val="00D8762A"/>
    <w:rsid w:val="00D87648"/>
    <w:rsid w:val="00D877AC"/>
    <w:rsid w:val="00D878D6"/>
    <w:rsid w:val="00D879C9"/>
    <w:rsid w:val="00D87AF5"/>
    <w:rsid w:val="00D87CC3"/>
    <w:rsid w:val="00D87EBF"/>
    <w:rsid w:val="00D87FF1"/>
    <w:rsid w:val="00D903B8"/>
    <w:rsid w:val="00D90908"/>
    <w:rsid w:val="00D90A7C"/>
    <w:rsid w:val="00D90F3E"/>
    <w:rsid w:val="00D91051"/>
    <w:rsid w:val="00D912EE"/>
    <w:rsid w:val="00D9179F"/>
    <w:rsid w:val="00D917BA"/>
    <w:rsid w:val="00D92145"/>
    <w:rsid w:val="00D922DE"/>
    <w:rsid w:val="00D929F9"/>
    <w:rsid w:val="00D92AEB"/>
    <w:rsid w:val="00D92BFE"/>
    <w:rsid w:val="00D92F89"/>
    <w:rsid w:val="00D93246"/>
    <w:rsid w:val="00D935AF"/>
    <w:rsid w:val="00D94344"/>
    <w:rsid w:val="00D946CB"/>
    <w:rsid w:val="00D94960"/>
    <w:rsid w:val="00D94F11"/>
    <w:rsid w:val="00D953BB"/>
    <w:rsid w:val="00D95B01"/>
    <w:rsid w:val="00D95F4C"/>
    <w:rsid w:val="00D969E0"/>
    <w:rsid w:val="00D96D77"/>
    <w:rsid w:val="00D96EF5"/>
    <w:rsid w:val="00D970E7"/>
    <w:rsid w:val="00D973EC"/>
    <w:rsid w:val="00D97A01"/>
    <w:rsid w:val="00D97EB2"/>
    <w:rsid w:val="00D97F60"/>
    <w:rsid w:val="00D97F9B"/>
    <w:rsid w:val="00DA0762"/>
    <w:rsid w:val="00DA100E"/>
    <w:rsid w:val="00DA13F7"/>
    <w:rsid w:val="00DA1CAD"/>
    <w:rsid w:val="00DA1CF6"/>
    <w:rsid w:val="00DA1DBC"/>
    <w:rsid w:val="00DA262C"/>
    <w:rsid w:val="00DA2740"/>
    <w:rsid w:val="00DA2DD8"/>
    <w:rsid w:val="00DA2F8C"/>
    <w:rsid w:val="00DA31A4"/>
    <w:rsid w:val="00DA3321"/>
    <w:rsid w:val="00DA44FE"/>
    <w:rsid w:val="00DA477D"/>
    <w:rsid w:val="00DA47A5"/>
    <w:rsid w:val="00DA55A7"/>
    <w:rsid w:val="00DA584B"/>
    <w:rsid w:val="00DA585F"/>
    <w:rsid w:val="00DA6383"/>
    <w:rsid w:val="00DA6BC1"/>
    <w:rsid w:val="00DA6ED5"/>
    <w:rsid w:val="00DA724C"/>
    <w:rsid w:val="00DA79EC"/>
    <w:rsid w:val="00DA7C7F"/>
    <w:rsid w:val="00DB0475"/>
    <w:rsid w:val="00DB06E3"/>
    <w:rsid w:val="00DB07CB"/>
    <w:rsid w:val="00DB0FD3"/>
    <w:rsid w:val="00DB0FFB"/>
    <w:rsid w:val="00DB1576"/>
    <w:rsid w:val="00DB17D4"/>
    <w:rsid w:val="00DB1914"/>
    <w:rsid w:val="00DB1A16"/>
    <w:rsid w:val="00DB1A5A"/>
    <w:rsid w:val="00DB2581"/>
    <w:rsid w:val="00DB25D2"/>
    <w:rsid w:val="00DB2643"/>
    <w:rsid w:val="00DB2AE3"/>
    <w:rsid w:val="00DB30C7"/>
    <w:rsid w:val="00DB3268"/>
    <w:rsid w:val="00DB329C"/>
    <w:rsid w:val="00DB33FB"/>
    <w:rsid w:val="00DB3628"/>
    <w:rsid w:val="00DB36F2"/>
    <w:rsid w:val="00DB3781"/>
    <w:rsid w:val="00DB3845"/>
    <w:rsid w:val="00DB3AA0"/>
    <w:rsid w:val="00DB3EB0"/>
    <w:rsid w:val="00DB473B"/>
    <w:rsid w:val="00DB4F0A"/>
    <w:rsid w:val="00DB5313"/>
    <w:rsid w:val="00DB5341"/>
    <w:rsid w:val="00DB5566"/>
    <w:rsid w:val="00DB5572"/>
    <w:rsid w:val="00DB56DA"/>
    <w:rsid w:val="00DB5837"/>
    <w:rsid w:val="00DB6BB2"/>
    <w:rsid w:val="00DB6C90"/>
    <w:rsid w:val="00DB72F9"/>
    <w:rsid w:val="00DB7662"/>
    <w:rsid w:val="00DB771F"/>
    <w:rsid w:val="00DB7B58"/>
    <w:rsid w:val="00DB7CD8"/>
    <w:rsid w:val="00DB7EF1"/>
    <w:rsid w:val="00DB7FFE"/>
    <w:rsid w:val="00DC039D"/>
    <w:rsid w:val="00DC057A"/>
    <w:rsid w:val="00DC1440"/>
    <w:rsid w:val="00DC1ABB"/>
    <w:rsid w:val="00DC203B"/>
    <w:rsid w:val="00DC27C2"/>
    <w:rsid w:val="00DC3015"/>
    <w:rsid w:val="00DC3039"/>
    <w:rsid w:val="00DC3359"/>
    <w:rsid w:val="00DC33B5"/>
    <w:rsid w:val="00DC4117"/>
    <w:rsid w:val="00DC412D"/>
    <w:rsid w:val="00DC492B"/>
    <w:rsid w:val="00DC4E3E"/>
    <w:rsid w:val="00DC4FD2"/>
    <w:rsid w:val="00DC5290"/>
    <w:rsid w:val="00DC5578"/>
    <w:rsid w:val="00DC56D5"/>
    <w:rsid w:val="00DC5FCD"/>
    <w:rsid w:val="00DC67AC"/>
    <w:rsid w:val="00DC69DF"/>
    <w:rsid w:val="00DC6D4C"/>
    <w:rsid w:val="00DC7196"/>
    <w:rsid w:val="00DC7202"/>
    <w:rsid w:val="00DC7253"/>
    <w:rsid w:val="00DC7963"/>
    <w:rsid w:val="00DC7A72"/>
    <w:rsid w:val="00DD0249"/>
    <w:rsid w:val="00DD03DA"/>
    <w:rsid w:val="00DD0584"/>
    <w:rsid w:val="00DD0B02"/>
    <w:rsid w:val="00DD0B59"/>
    <w:rsid w:val="00DD0ED6"/>
    <w:rsid w:val="00DD11FD"/>
    <w:rsid w:val="00DD15BE"/>
    <w:rsid w:val="00DD1827"/>
    <w:rsid w:val="00DD1FCD"/>
    <w:rsid w:val="00DD268F"/>
    <w:rsid w:val="00DD28FF"/>
    <w:rsid w:val="00DD2E60"/>
    <w:rsid w:val="00DD305E"/>
    <w:rsid w:val="00DD317A"/>
    <w:rsid w:val="00DD3FAF"/>
    <w:rsid w:val="00DD3FCF"/>
    <w:rsid w:val="00DD56DB"/>
    <w:rsid w:val="00DD5F5E"/>
    <w:rsid w:val="00DD6605"/>
    <w:rsid w:val="00DD680E"/>
    <w:rsid w:val="00DD694D"/>
    <w:rsid w:val="00DD6AD7"/>
    <w:rsid w:val="00DD6C8C"/>
    <w:rsid w:val="00DD7031"/>
    <w:rsid w:val="00DD71A8"/>
    <w:rsid w:val="00DD73FD"/>
    <w:rsid w:val="00DD750C"/>
    <w:rsid w:val="00DE023E"/>
    <w:rsid w:val="00DE0514"/>
    <w:rsid w:val="00DE061F"/>
    <w:rsid w:val="00DE0AFB"/>
    <w:rsid w:val="00DE0CE1"/>
    <w:rsid w:val="00DE0D76"/>
    <w:rsid w:val="00DE0E44"/>
    <w:rsid w:val="00DE12E1"/>
    <w:rsid w:val="00DE16FA"/>
    <w:rsid w:val="00DE1724"/>
    <w:rsid w:val="00DE1794"/>
    <w:rsid w:val="00DE18E3"/>
    <w:rsid w:val="00DE1B30"/>
    <w:rsid w:val="00DE1D59"/>
    <w:rsid w:val="00DE2140"/>
    <w:rsid w:val="00DE274C"/>
    <w:rsid w:val="00DE3557"/>
    <w:rsid w:val="00DE374E"/>
    <w:rsid w:val="00DE3BC3"/>
    <w:rsid w:val="00DE4930"/>
    <w:rsid w:val="00DE4BA3"/>
    <w:rsid w:val="00DE4E2B"/>
    <w:rsid w:val="00DE4F8B"/>
    <w:rsid w:val="00DE56AD"/>
    <w:rsid w:val="00DE5739"/>
    <w:rsid w:val="00DE5A08"/>
    <w:rsid w:val="00DE5A9C"/>
    <w:rsid w:val="00DE5D5C"/>
    <w:rsid w:val="00DE5F42"/>
    <w:rsid w:val="00DE63F0"/>
    <w:rsid w:val="00DE7382"/>
    <w:rsid w:val="00DE73F2"/>
    <w:rsid w:val="00DE793D"/>
    <w:rsid w:val="00DF0266"/>
    <w:rsid w:val="00DF2BE6"/>
    <w:rsid w:val="00DF3537"/>
    <w:rsid w:val="00DF3898"/>
    <w:rsid w:val="00DF3B70"/>
    <w:rsid w:val="00DF4154"/>
    <w:rsid w:val="00DF4297"/>
    <w:rsid w:val="00DF4606"/>
    <w:rsid w:val="00DF4BC1"/>
    <w:rsid w:val="00DF5040"/>
    <w:rsid w:val="00DF5181"/>
    <w:rsid w:val="00DF523A"/>
    <w:rsid w:val="00DF57CF"/>
    <w:rsid w:val="00DF5A79"/>
    <w:rsid w:val="00DF5EE0"/>
    <w:rsid w:val="00DF6155"/>
    <w:rsid w:val="00DF7016"/>
    <w:rsid w:val="00DF7160"/>
    <w:rsid w:val="00DF7828"/>
    <w:rsid w:val="00E00115"/>
    <w:rsid w:val="00E0018A"/>
    <w:rsid w:val="00E00442"/>
    <w:rsid w:val="00E00BB2"/>
    <w:rsid w:val="00E00C9B"/>
    <w:rsid w:val="00E00F9A"/>
    <w:rsid w:val="00E01266"/>
    <w:rsid w:val="00E01298"/>
    <w:rsid w:val="00E01347"/>
    <w:rsid w:val="00E0163A"/>
    <w:rsid w:val="00E0238C"/>
    <w:rsid w:val="00E0240C"/>
    <w:rsid w:val="00E0286D"/>
    <w:rsid w:val="00E02D93"/>
    <w:rsid w:val="00E02FAE"/>
    <w:rsid w:val="00E0323E"/>
    <w:rsid w:val="00E03327"/>
    <w:rsid w:val="00E033DE"/>
    <w:rsid w:val="00E03CC1"/>
    <w:rsid w:val="00E03F68"/>
    <w:rsid w:val="00E04016"/>
    <w:rsid w:val="00E053B9"/>
    <w:rsid w:val="00E05F06"/>
    <w:rsid w:val="00E05F59"/>
    <w:rsid w:val="00E06231"/>
    <w:rsid w:val="00E06A08"/>
    <w:rsid w:val="00E06C60"/>
    <w:rsid w:val="00E06F33"/>
    <w:rsid w:val="00E07665"/>
    <w:rsid w:val="00E07F1E"/>
    <w:rsid w:val="00E10075"/>
    <w:rsid w:val="00E10AFB"/>
    <w:rsid w:val="00E10FC9"/>
    <w:rsid w:val="00E11132"/>
    <w:rsid w:val="00E115AD"/>
    <w:rsid w:val="00E11736"/>
    <w:rsid w:val="00E11A68"/>
    <w:rsid w:val="00E11DCB"/>
    <w:rsid w:val="00E12714"/>
    <w:rsid w:val="00E12795"/>
    <w:rsid w:val="00E12847"/>
    <w:rsid w:val="00E12A19"/>
    <w:rsid w:val="00E12C7E"/>
    <w:rsid w:val="00E12E20"/>
    <w:rsid w:val="00E134A2"/>
    <w:rsid w:val="00E13C16"/>
    <w:rsid w:val="00E14259"/>
    <w:rsid w:val="00E1457A"/>
    <w:rsid w:val="00E14908"/>
    <w:rsid w:val="00E15291"/>
    <w:rsid w:val="00E15FA3"/>
    <w:rsid w:val="00E16298"/>
    <w:rsid w:val="00E16B8C"/>
    <w:rsid w:val="00E174B1"/>
    <w:rsid w:val="00E20373"/>
    <w:rsid w:val="00E2041C"/>
    <w:rsid w:val="00E20537"/>
    <w:rsid w:val="00E2059C"/>
    <w:rsid w:val="00E2066D"/>
    <w:rsid w:val="00E21322"/>
    <w:rsid w:val="00E21E69"/>
    <w:rsid w:val="00E21F5B"/>
    <w:rsid w:val="00E2249B"/>
    <w:rsid w:val="00E227AB"/>
    <w:rsid w:val="00E228E0"/>
    <w:rsid w:val="00E2290A"/>
    <w:rsid w:val="00E22955"/>
    <w:rsid w:val="00E22BB6"/>
    <w:rsid w:val="00E22BF4"/>
    <w:rsid w:val="00E22EC6"/>
    <w:rsid w:val="00E231DC"/>
    <w:rsid w:val="00E233C5"/>
    <w:rsid w:val="00E234C5"/>
    <w:rsid w:val="00E23737"/>
    <w:rsid w:val="00E23CE9"/>
    <w:rsid w:val="00E24035"/>
    <w:rsid w:val="00E24A21"/>
    <w:rsid w:val="00E24A40"/>
    <w:rsid w:val="00E24C31"/>
    <w:rsid w:val="00E25130"/>
    <w:rsid w:val="00E25AB0"/>
    <w:rsid w:val="00E25F10"/>
    <w:rsid w:val="00E26946"/>
    <w:rsid w:val="00E269AC"/>
    <w:rsid w:val="00E27049"/>
    <w:rsid w:val="00E2767F"/>
    <w:rsid w:val="00E3022C"/>
    <w:rsid w:val="00E303A2"/>
    <w:rsid w:val="00E30888"/>
    <w:rsid w:val="00E30908"/>
    <w:rsid w:val="00E30A07"/>
    <w:rsid w:val="00E30D95"/>
    <w:rsid w:val="00E31067"/>
    <w:rsid w:val="00E310D5"/>
    <w:rsid w:val="00E31103"/>
    <w:rsid w:val="00E31574"/>
    <w:rsid w:val="00E31770"/>
    <w:rsid w:val="00E31899"/>
    <w:rsid w:val="00E318F9"/>
    <w:rsid w:val="00E324AD"/>
    <w:rsid w:val="00E3303F"/>
    <w:rsid w:val="00E33994"/>
    <w:rsid w:val="00E33B66"/>
    <w:rsid w:val="00E33C03"/>
    <w:rsid w:val="00E340CB"/>
    <w:rsid w:val="00E34317"/>
    <w:rsid w:val="00E34C12"/>
    <w:rsid w:val="00E35186"/>
    <w:rsid w:val="00E35A8A"/>
    <w:rsid w:val="00E35CC2"/>
    <w:rsid w:val="00E35D14"/>
    <w:rsid w:val="00E35E93"/>
    <w:rsid w:val="00E3624F"/>
    <w:rsid w:val="00E36915"/>
    <w:rsid w:val="00E36C83"/>
    <w:rsid w:val="00E36D12"/>
    <w:rsid w:val="00E36D9E"/>
    <w:rsid w:val="00E37DF7"/>
    <w:rsid w:val="00E406EA"/>
    <w:rsid w:val="00E40AD7"/>
    <w:rsid w:val="00E40B2B"/>
    <w:rsid w:val="00E40D93"/>
    <w:rsid w:val="00E416C7"/>
    <w:rsid w:val="00E41D8F"/>
    <w:rsid w:val="00E429BA"/>
    <w:rsid w:val="00E42EF8"/>
    <w:rsid w:val="00E431E2"/>
    <w:rsid w:val="00E43362"/>
    <w:rsid w:val="00E4361E"/>
    <w:rsid w:val="00E436BA"/>
    <w:rsid w:val="00E439D9"/>
    <w:rsid w:val="00E43CBB"/>
    <w:rsid w:val="00E43CD9"/>
    <w:rsid w:val="00E43DC4"/>
    <w:rsid w:val="00E44114"/>
    <w:rsid w:val="00E441E1"/>
    <w:rsid w:val="00E44467"/>
    <w:rsid w:val="00E4459D"/>
    <w:rsid w:val="00E44C32"/>
    <w:rsid w:val="00E4613F"/>
    <w:rsid w:val="00E46212"/>
    <w:rsid w:val="00E462A2"/>
    <w:rsid w:val="00E462D3"/>
    <w:rsid w:val="00E4686F"/>
    <w:rsid w:val="00E46B50"/>
    <w:rsid w:val="00E46CBD"/>
    <w:rsid w:val="00E46E1B"/>
    <w:rsid w:val="00E47312"/>
    <w:rsid w:val="00E47450"/>
    <w:rsid w:val="00E475F3"/>
    <w:rsid w:val="00E500CA"/>
    <w:rsid w:val="00E50271"/>
    <w:rsid w:val="00E50657"/>
    <w:rsid w:val="00E507E4"/>
    <w:rsid w:val="00E510EE"/>
    <w:rsid w:val="00E513B3"/>
    <w:rsid w:val="00E515EF"/>
    <w:rsid w:val="00E51F03"/>
    <w:rsid w:val="00E51FC3"/>
    <w:rsid w:val="00E52283"/>
    <w:rsid w:val="00E52CFA"/>
    <w:rsid w:val="00E52E22"/>
    <w:rsid w:val="00E53308"/>
    <w:rsid w:val="00E538CA"/>
    <w:rsid w:val="00E538DA"/>
    <w:rsid w:val="00E53A0A"/>
    <w:rsid w:val="00E53BB1"/>
    <w:rsid w:val="00E53DAD"/>
    <w:rsid w:val="00E5456E"/>
    <w:rsid w:val="00E54E05"/>
    <w:rsid w:val="00E551F6"/>
    <w:rsid w:val="00E557D4"/>
    <w:rsid w:val="00E55800"/>
    <w:rsid w:val="00E55E24"/>
    <w:rsid w:val="00E55F14"/>
    <w:rsid w:val="00E563EE"/>
    <w:rsid w:val="00E56846"/>
    <w:rsid w:val="00E5686B"/>
    <w:rsid w:val="00E56BFA"/>
    <w:rsid w:val="00E56FB6"/>
    <w:rsid w:val="00E570CB"/>
    <w:rsid w:val="00E57253"/>
    <w:rsid w:val="00E57838"/>
    <w:rsid w:val="00E601CE"/>
    <w:rsid w:val="00E60A0A"/>
    <w:rsid w:val="00E60BA9"/>
    <w:rsid w:val="00E60FE2"/>
    <w:rsid w:val="00E611D1"/>
    <w:rsid w:val="00E618A7"/>
    <w:rsid w:val="00E62A38"/>
    <w:rsid w:val="00E63013"/>
    <w:rsid w:val="00E630F3"/>
    <w:rsid w:val="00E6347A"/>
    <w:rsid w:val="00E636BB"/>
    <w:rsid w:val="00E63949"/>
    <w:rsid w:val="00E63A58"/>
    <w:rsid w:val="00E6421B"/>
    <w:rsid w:val="00E649CA"/>
    <w:rsid w:val="00E64A0F"/>
    <w:rsid w:val="00E64F6F"/>
    <w:rsid w:val="00E6522F"/>
    <w:rsid w:val="00E65387"/>
    <w:rsid w:val="00E6560A"/>
    <w:rsid w:val="00E6560E"/>
    <w:rsid w:val="00E65DE6"/>
    <w:rsid w:val="00E6625B"/>
    <w:rsid w:val="00E66ABD"/>
    <w:rsid w:val="00E66CAF"/>
    <w:rsid w:val="00E6702D"/>
    <w:rsid w:val="00E67E2D"/>
    <w:rsid w:val="00E70482"/>
    <w:rsid w:val="00E7064C"/>
    <w:rsid w:val="00E7087F"/>
    <w:rsid w:val="00E70A9C"/>
    <w:rsid w:val="00E70B55"/>
    <w:rsid w:val="00E70EEA"/>
    <w:rsid w:val="00E711F5"/>
    <w:rsid w:val="00E71779"/>
    <w:rsid w:val="00E71A84"/>
    <w:rsid w:val="00E728AA"/>
    <w:rsid w:val="00E72A07"/>
    <w:rsid w:val="00E730F1"/>
    <w:rsid w:val="00E73256"/>
    <w:rsid w:val="00E734BE"/>
    <w:rsid w:val="00E734F3"/>
    <w:rsid w:val="00E74717"/>
    <w:rsid w:val="00E7494E"/>
    <w:rsid w:val="00E751E1"/>
    <w:rsid w:val="00E7544C"/>
    <w:rsid w:val="00E75CBA"/>
    <w:rsid w:val="00E760DC"/>
    <w:rsid w:val="00E769E4"/>
    <w:rsid w:val="00E76E7A"/>
    <w:rsid w:val="00E76FEB"/>
    <w:rsid w:val="00E778A0"/>
    <w:rsid w:val="00E77D5D"/>
    <w:rsid w:val="00E77F4A"/>
    <w:rsid w:val="00E80123"/>
    <w:rsid w:val="00E80A0E"/>
    <w:rsid w:val="00E80AB8"/>
    <w:rsid w:val="00E80D07"/>
    <w:rsid w:val="00E81058"/>
    <w:rsid w:val="00E810C0"/>
    <w:rsid w:val="00E810E5"/>
    <w:rsid w:val="00E8128B"/>
    <w:rsid w:val="00E81653"/>
    <w:rsid w:val="00E81CE5"/>
    <w:rsid w:val="00E829E9"/>
    <w:rsid w:val="00E82E8F"/>
    <w:rsid w:val="00E835EF"/>
    <w:rsid w:val="00E83843"/>
    <w:rsid w:val="00E83EB6"/>
    <w:rsid w:val="00E84841"/>
    <w:rsid w:val="00E84DFF"/>
    <w:rsid w:val="00E84EA7"/>
    <w:rsid w:val="00E852F1"/>
    <w:rsid w:val="00E8560F"/>
    <w:rsid w:val="00E85AC8"/>
    <w:rsid w:val="00E85B45"/>
    <w:rsid w:val="00E85FD2"/>
    <w:rsid w:val="00E86509"/>
    <w:rsid w:val="00E86874"/>
    <w:rsid w:val="00E86B6B"/>
    <w:rsid w:val="00E870A5"/>
    <w:rsid w:val="00E87BBA"/>
    <w:rsid w:val="00E87F66"/>
    <w:rsid w:val="00E90779"/>
    <w:rsid w:val="00E90893"/>
    <w:rsid w:val="00E9097E"/>
    <w:rsid w:val="00E909C3"/>
    <w:rsid w:val="00E91069"/>
    <w:rsid w:val="00E91084"/>
    <w:rsid w:val="00E9112C"/>
    <w:rsid w:val="00E9194A"/>
    <w:rsid w:val="00E91FB4"/>
    <w:rsid w:val="00E92153"/>
    <w:rsid w:val="00E92AAF"/>
    <w:rsid w:val="00E9301D"/>
    <w:rsid w:val="00E9314F"/>
    <w:rsid w:val="00E93AAB"/>
    <w:rsid w:val="00E93B35"/>
    <w:rsid w:val="00E93D5F"/>
    <w:rsid w:val="00E93D62"/>
    <w:rsid w:val="00E93F1B"/>
    <w:rsid w:val="00E9455B"/>
    <w:rsid w:val="00E94659"/>
    <w:rsid w:val="00E94F9F"/>
    <w:rsid w:val="00E94FBF"/>
    <w:rsid w:val="00E94FE1"/>
    <w:rsid w:val="00E95722"/>
    <w:rsid w:val="00E96159"/>
    <w:rsid w:val="00E968C2"/>
    <w:rsid w:val="00E96B1C"/>
    <w:rsid w:val="00E96DD3"/>
    <w:rsid w:val="00E96F26"/>
    <w:rsid w:val="00E973B2"/>
    <w:rsid w:val="00E97A61"/>
    <w:rsid w:val="00EA0107"/>
    <w:rsid w:val="00EA053C"/>
    <w:rsid w:val="00EA0543"/>
    <w:rsid w:val="00EA05CB"/>
    <w:rsid w:val="00EA0771"/>
    <w:rsid w:val="00EA13C4"/>
    <w:rsid w:val="00EA186F"/>
    <w:rsid w:val="00EA1EAF"/>
    <w:rsid w:val="00EA1EB8"/>
    <w:rsid w:val="00EA2C5B"/>
    <w:rsid w:val="00EA2FD7"/>
    <w:rsid w:val="00EA3359"/>
    <w:rsid w:val="00EA3629"/>
    <w:rsid w:val="00EA3883"/>
    <w:rsid w:val="00EA3D38"/>
    <w:rsid w:val="00EA4324"/>
    <w:rsid w:val="00EA4663"/>
    <w:rsid w:val="00EA47FB"/>
    <w:rsid w:val="00EA4B62"/>
    <w:rsid w:val="00EA5188"/>
    <w:rsid w:val="00EA51E5"/>
    <w:rsid w:val="00EA5802"/>
    <w:rsid w:val="00EA5B76"/>
    <w:rsid w:val="00EA6192"/>
    <w:rsid w:val="00EA6256"/>
    <w:rsid w:val="00EA62C0"/>
    <w:rsid w:val="00EA641B"/>
    <w:rsid w:val="00EA69C3"/>
    <w:rsid w:val="00EA6B94"/>
    <w:rsid w:val="00EA719D"/>
    <w:rsid w:val="00EA72FC"/>
    <w:rsid w:val="00EA7660"/>
    <w:rsid w:val="00EA77B2"/>
    <w:rsid w:val="00EA7851"/>
    <w:rsid w:val="00EA7B95"/>
    <w:rsid w:val="00EB01FB"/>
    <w:rsid w:val="00EB123E"/>
    <w:rsid w:val="00EB16F3"/>
    <w:rsid w:val="00EB1AA0"/>
    <w:rsid w:val="00EB1DA9"/>
    <w:rsid w:val="00EB2DA7"/>
    <w:rsid w:val="00EB2E92"/>
    <w:rsid w:val="00EB302D"/>
    <w:rsid w:val="00EB31BC"/>
    <w:rsid w:val="00EB33BE"/>
    <w:rsid w:val="00EB3736"/>
    <w:rsid w:val="00EB3F86"/>
    <w:rsid w:val="00EB49B5"/>
    <w:rsid w:val="00EB4E51"/>
    <w:rsid w:val="00EB4E97"/>
    <w:rsid w:val="00EB52A3"/>
    <w:rsid w:val="00EB5C4F"/>
    <w:rsid w:val="00EB5E2B"/>
    <w:rsid w:val="00EB6075"/>
    <w:rsid w:val="00EB6667"/>
    <w:rsid w:val="00EB676B"/>
    <w:rsid w:val="00EB6E4B"/>
    <w:rsid w:val="00EB75E8"/>
    <w:rsid w:val="00EB7A22"/>
    <w:rsid w:val="00EB7B96"/>
    <w:rsid w:val="00EB7FA1"/>
    <w:rsid w:val="00EC017B"/>
    <w:rsid w:val="00EC068E"/>
    <w:rsid w:val="00EC0E58"/>
    <w:rsid w:val="00EC0E9D"/>
    <w:rsid w:val="00EC1333"/>
    <w:rsid w:val="00EC143D"/>
    <w:rsid w:val="00EC1C68"/>
    <w:rsid w:val="00EC1E27"/>
    <w:rsid w:val="00EC23DA"/>
    <w:rsid w:val="00EC2666"/>
    <w:rsid w:val="00EC28D2"/>
    <w:rsid w:val="00EC2E57"/>
    <w:rsid w:val="00EC2EAA"/>
    <w:rsid w:val="00EC3923"/>
    <w:rsid w:val="00EC399F"/>
    <w:rsid w:val="00EC3A7B"/>
    <w:rsid w:val="00EC44E8"/>
    <w:rsid w:val="00EC483F"/>
    <w:rsid w:val="00EC4ECE"/>
    <w:rsid w:val="00EC585C"/>
    <w:rsid w:val="00EC5C3F"/>
    <w:rsid w:val="00EC5F0C"/>
    <w:rsid w:val="00EC6434"/>
    <w:rsid w:val="00EC6DD2"/>
    <w:rsid w:val="00EC71C8"/>
    <w:rsid w:val="00EC7BFD"/>
    <w:rsid w:val="00EC7F03"/>
    <w:rsid w:val="00ED020F"/>
    <w:rsid w:val="00ED02A5"/>
    <w:rsid w:val="00ED0649"/>
    <w:rsid w:val="00ED09DA"/>
    <w:rsid w:val="00ED0D16"/>
    <w:rsid w:val="00ED0D58"/>
    <w:rsid w:val="00ED22B7"/>
    <w:rsid w:val="00ED241C"/>
    <w:rsid w:val="00ED25CF"/>
    <w:rsid w:val="00ED26E8"/>
    <w:rsid w:val="00ED2E94"/>
    <w:rsid w:val="00ED2EBD"/>
    <w:rsid w:val="00ED2F66"/>
    <w:rsid w:val="00ED339B"/>
    <w:rsid w:val="00ED35D8"/>
    <w:rsid w:val="00ED372B"/>
    <w:rsid w:val="00ED3EB2"/>
    <w:rsid w:val="00ED465B"/>
    <w:rsid w:val="00ED46E9"/>
    <w:rsid w:val="00ED5448"/>
    <w:rsid w:val="00ED65BB"/>
    <w:rsid w:val="00ED679F"/>
    <w:rsid w:val="00ED6A66"/>
    <w:rsid w:val="00ED700A"/>
    <w:rsid w:val="00ED792E"/>
    <w:rsid w:val="00ED7E90"/>
    <w:rsid w:val="00EE0042"/>
    <w:rsid w:val="00EE0463"/>
    <w:rsid w:val="00EE0E97"/>
    <w:rsid w:val="00EE114E"/>
    <w:rsid w:val="00EE1683"/>
    <w:rsid w:val="00EE19EF"/>
    <w:rsid w:val="00EE19FD"/>
    <w:rsid w:val="00EE2091"/>
    <w:rsid w:val="00EE28F5"/>
    <w:rsid w:val="00EE307A"/>
    <w:rsid w:val="00EE30C1"/>
    <w:rsid w:val="00EE3390"/>
    <w:rsid w:val="00EE3CA8"/>
    <w:rsid w:val="00EE4AA9"/>
    <w:rsid w:val="00EE638C"/>
    <w:rsid w:val="00EE6AA9"/>
    <w:rsid w:val="00EE6DC0"/>
    <w:rsid w:val="00EE6F07"/>
    <w:rsid w:val="00EF0515"/>
    <w:rsid w:val="00EF0625"/>
    <w:rsid w:val="00EF0CCC"/>
    <w:rsid w:val="00EF1E23"/>
    <w:rsid w:val="00EF200A"/>
    <w:rsid w:val="00EF2162"/>
    <w:rsid w:val="00EF2205"/>
    <w:rsid w:val="00EF2901"/>
    <w:rsid w:val="00EF295E"/>
    <w:rsid w:val="00EF33F0"/>
    <w:rsid w:val="00EF4335"/>
    <w:rsid w:val="00EF443C"/>
    <w:rsid w:val="00EF4518"/>
    <w:rsid w:val="00EF4621"/>
    <w:rsid w:val="00EF4E63"/>
    <w:rsid w:val="00EF4E77"/>
    <w:rsid w:val="00EF519C"/>
    <w:rsid w:val="00EF56A4"/>
    <w:rsid w:val="00EF5810"/>
    <w:rsid w:val="00EF5AC6"/>
    <w:rsid w:val="00EF6027"/>
    <w:rsid w:val="00EF6068"/>
    <w:rsid w:val="00EF66AE"/>
    <w:rsid w:val="00EF68CB"/>
    <w:rsid w:val="00EF732D"/>
    <w:rsid w:val="00EF7669"/>
    <w:rsid w:val="00EF77B5"/>
    <w:rsid w:val="00EF77CA"/>
    <w:rsid w:val="00EF7BC1"/>
    <w:rsid w:val="00EF7E11"/>
    <w:rsid w:val="00F003D6"/>
    <w:rsid w:val="00F004E0"/>
    <w:rsid w:val="00F00672"/>
    <w:rsid w:val="00F0068A"/>
    <w:rsid w:val="00F00A3A"/>
    <w:rsid w:val="00F00A79"/>
    <w:rsid w:val="00F00B9D"/>
    <w:rsid w:val="00F01630"/>
    <w:rsid w:val="00F0184B"/>
    <w:rsid w:val="00F01919"/>
    <w:rsid w:val="00F02095"/>
    <w:rsid w:val="00F0234C"/>
    <w:rsid w:val="00F024D0"/>
    <w:rsid w:val="00F028BD"/>
    <w:rsid w:val="00F02F64"/>
    <w:rsid w:val="00F03252"/>
    <w:rsid w:val="00F03312"/>
    <w:rsid w:val="00F033D2"/>
    <w:rsid w:val="00F037DE"/>
    <w:rsid w:val="00F038DD"/>
    <w:rsid w:val="00F03D64"/>
    <w:rsid w:val="00F03D67"/>
    <w:rsid w:val="00F03EA3"/>
    <w:rsid w:val="00F04105"/>
    <w:rsid w:val="00F04139"/>
    <w:rsid w:val="00F04424"/>
    <w:rsid w:val="00F048A7"/>
    <w:rsid w:val="00F04958"/>
    <w:rsid w:val="00F04B6F"/>
    <w:rsid w:val="00F04BA3"/>
    <w:rsid w:val="00F0578A"/>
    <w:rsid w:val="00F05A1C"/>
    <w:rsid w:val="00F05DE5"/>
    <w:rsid w:val="00F05EE9"/>
    <w:rsid w:val="00F067DB"/>
    <w:rsid w:val="00F0690C"/>
    <w:rsid w:val="00F06970"/>
    <w:rsid w:val="00F06C96"/>
    <w:rsid w:val="00F0701D"/>
    <w:rsid w:val="00F070D9"/>
    <w:rsid w:val="00F072DE"/>
    <w:rsid w:val="00F078A2"/>
    <w:rsid w:val="00F07C51"/>
    <w:rsid w:val="00F07DE8"/>
    <w:rsid w:val="00F07DF6"/>
    <w:rsid w:val="00F07F50"/>
    <w:rsid w:val="00F10215"/>
    <w:rsid w:val="00F10C2F"/>
    <w:rsid w:val="00F10D36"/>
    <w:rsid w:val="00F10ED2"/>
    <w:rsid w:val="00F11A0F"/>
    <w:rsid w:val="00F11DDF"/>
    <w:rsid w:val="00F12338"/>
    <w:rsid w:val="00F12352"/>
    <w:rsid w:val="00F12602"/>
    <w:rsid w:val="00F129C3"/>
    <w:rsid w:val="00F12BEC"/>
    <w:rsid w:val="00F135B9"/>
    <w:rsid w:val="00F136D1"/>
    <w:rsid w:val="00F136E5"/>
    <w:rsid w:val="00F13717"/>
    <w:rsid w:val="00F13A09"/>
    <w:rsid w:val="00F13E33"/>
    <w:rsid w:val="00F145F9"/>
    <w:rsid w:val="00F14D7D"/>
    <w:rsid w:val="00F14F9B"/>
    <w:rsid w:val="00F14FA4"/>
    <w:rsid w:val="00F15064"/>
    <w:rsid w:val="00F15508"/>
    <w:rsid w:val="00F15549"/>
    <w:rsid w:val="00F15A6E"/>
    <w:rsid w:val="00F160D0"/>
    <w:rsid w:val="00F1676E"/>
    <w:rsid w:val="00F16E6A"/>
    <w:rsid w:val="00F17006"/>
    <w:rsid w:val="00F17189"/>
    <w:rsid w:val="00F1728F"/>
    <w:rsid w:val="00F17ABB"/>
    <w:rsid w:val="00F2018D"/>
    <w:rsid w:val="00F204B5"/>
    <w:rsid w:val="00F204ED"/>
    <w:rsid w:val="00F20F93"/>
    <w:rsid w:val="00F20F9D"/>
    <w:rsid w:val="00F21265"/>
    <w:rsid w:val="00F2176E"/>
    <w:rsid w:val="00F21AE5"/>
    <w:rsid w:val="00F21D8E"/>
    <w:rsid w:val="00F22D35"/>
    <w:rsid w:val="00F22D4C"/>
    <w:rsid w:val="00F22E6E"/>
    <w:rsid w:val="00F23474"/>
    <w:rsid w:val="00F2376B"/>
    <w:rsid w:val="00F23C77"/>
    <w:rsid w:val="00F241D1"/>
    <w:rsid w:val="00F2479E"/>
    <w:rsid w:val="00F24896"/>
    <w:rsid w:val="00F249B2"/>
    <w:rsid w:val="00F24B15"/>
    <w:rsid w:val="00F24D41"/>
    <w:rsid w:val="00F24F1C"/>
    <w:rsid w:val="00F25471"/>
    <w:rsid w:val="00F2558B"/>
    <w:rsid w:val="00F25693"/>
    <w:rsid w:val="00F25A68"/>
    <w:rsid w:val="00F25B10"/>
    <w:rsid w:val="00F25F3F"/>
    <w:rsid w:val="00F26313"/>
    <w:rsid w:val="00F263EC"/>
    <w:rsid w:val="00F264B2"/>
    <w:rsid w:val="00F26617"/>
    <w:rsid w:val="00F271A0"/>
    <w:rsid w:val="00F278BC"/>
    <w:rsid w:val="00F30128"/>
    <w:rsid w:val="00F30A1B"/>
    <w:rsid w:val="00F30D0E"/>
    <w:rsid w:val="00F30DA1"/>
    <w:rsid w:val="00F30EE6"/>
    <w:rsid w:val="00F312F8"/>
    <w:rsid w:val="00F313D1"/>
    <w:rsid w:val="00F33072"/>
    <w:rsid w:val="00F33175"/>
    <w:rsid w:val="00F337CE"/>
    <w:rsid w:val="00F3398B"/>
    <w:rsid w:val="00F33F48"/>
    <w:rsid w:val="00F34001"/>
    <w:rsid w:val="00F3465B"/>
    <w:rsid w:val="00F34F2E"/>
    <w:rsid w:val="00F34F91"/>
    <w:rsid w:val="00F36072"/>
    <w:rsid w:val="00F3660A"/>
    <w:rsid w:val="00F372D2"/>
    <w:rsid w:val="00F37744"/>
    <w:rsid w:val="00F37BB1"/>
    <w:rsid w:val="00F37C14"/>
    <w:rsid w:val="00F40716"/>
    <w:rsid w:val="00F410FC"/>
    <w:rsid w:val="00F41124"/>
    <w:rsid w:val="00F4124B"/>
    <w:rsid w:val="00F41610"/>
    <w:rsid w:val="00F419CA"/>
    <w:rsid w:val="00F41EA1"/>
    <w:rsid w:val="00F41F64"/>
    <w:rsid w:val="00F42311"/>
    <w:rsid w:val="00F4391F"/>
    <w:rsid w:val="00F44F6B"/>
    <w:rsid w:val="00F4531A"/>
    <w:rsid w:val="00F458B4"/>
    <w:rsid w:val="00F45BBF"/>
    <w:rsid w:val="00F4633B"/>
    <w:rsid w:val="00F4641C"/>
    <w:rsid w:val="00F4665B"/>
    <w:rsid w:val="00F46A24"/>
    <w:rsid w:val="00F46AC6"/>
    <w:rsid w:val="00F46BD5"/>
    <w:rsid w:val="00F46F72"/>
    <w:rsid w:val="00F46FF3"/>
    <w:rsid w:val="00F471DE"/>
    <w:rsid w:val="00F47502"/>
    <w:rsid w:val="00F475F2"/>
    <w:rsid w:val="00F477B6"/>
    <w:rsid w:val="00F47AC6"/>
    <w:rsid w:val="00F47BDB"/>
    <w:rsid w:val="00F47E51"/>
    <w:rsid w:val="00F50106"/>
    <w:rsid w:val="00F50301"/>
    <w:rsid w:val="00F50375"/>
    <w:rsid w:val="00F509A0"/>
    <w:rsid w:val="00F512AB"/>
    <w:rsid w:val="00F5148D"/>
    <w:rsid w:val="00F51588"/>
    <w:rsid w:val="00F51BC0"/>
    <w:rsid w:val="00F52C88"/>
    <w:rsid w:val="00F52DD3"/>
    <w:rsid w:val="00F5330E"/>
    <w:rsid w:val="00F543C0"/>
    <w:rsid w:val="00F543F6"/>
    <w:rsid w:val="00F547C4"/>
    <w:rsid w:val="00F5515B"/>
    <w:rsid w:val="00F55184"/>
    <w:rsid w:val="00F551D1"/>
    <w:rsid w:val="00F5542D"/>
    <w:rsid w:val="00F555DE"/>
    <w:rsid w:val="00F556D0"/>
    <w:rsid w:val="00F557C9"/>
    <w:rsid w:val="00F563A7"/>
    <w:rsid w:val="00F56D02"/>
    <w:rsid w:val="00F56E48"/>
    <w:rsid w:val="00F5727F"/>
    <w:rsid w:val="00F57360"/>
    <w:rsid w:val="00F576FD"/>
    <w:rsid w:val="00F579E5"/>
    <w:rsid w:val="00F57D43"/>
    <w:rsid w:val="00F603F9"/>
    <w:rsid w:val="00F604E7"/>
    <w:rsid w:val="00F60707"/>
    <w:rsid w:val="00F6079B"/>
    <w:rsid w:val="00F60C47"/>
    <w:rsid w:val="00F622AD"/>
    <w:rsid w:val="00F62366"/>
    <w:rsid w:val="00F629B0"/>
    <w:rsid w:val="00F630A7"/>
    <w:rsid w:val="00F6372F"/>
    <w:rsid w:val="00F63E9D"/>
    <w:rsid w:val="00F63F23"/>
    <w:rsid w:val="00F64027"/>
    <w:rsid w:val="00F6421C"/>
    <w:rsid w:val="00F645DE"/>
    <w:rsid w:val="00F64E44"/>
    <w:rsid w:val="00F64FCE"/>
    <w:rsid w:val="00F65337"/>
    <w:rsid w:val="00F656FC"/>
    <w:rsid w:val="00F65746"/>
    <w:rsid w:val="00F657D2"/>
    <w:rsid w:val="00F6631D"/>
    <w:rsid w:val="00F66615"/>
    <w:rsid w:val="00F67047"/>
    <w:rsid w:val="00F670CB"/>
    <w:rsid w:val="00F67220"/>
    <w:rsid w:val="00F67D77"/>
    <w:rsid w:val="00F7031F"/>
    <w:rsid w:val="00F7067D"/>
    <w:rsid w:val="00F706F0"/>
    <w:rsid w:val="00F70CD8"/>
    <w:rsid w:val="00F71025"/>
    <w:rsid w:val="00F7128F"/>
    <w:rsid w:val="00F71346"/>
    <w:rsid w:val="00F714FF"/>
    <w:rsid w:val="00F71647"/>
    <w:rsid w:val="00F716AB"/>
    <w:rsid w:val="00F7174B"/>
    <w:rsid w:val="00F7188B"/>
    <w:rsid w:val="00F71DE0"/>
    <w:rsid w:val="00F722C4"/>
    <w:rsid w:val="00F7255A"/>
    <w:rsid w:val="00F728B8"/>
    <w:rsid w:val="00F72A13"/>
    <w:rsid w:val="00F72E65"/>
    <w:rsid w:val="00F733D6"/>
    <w:rsid w:val="00F7399C"/>
    <w:rsid w:val="00F73D71"/>
    <w:rsid w:val="00F73EF6"/>
    <w:rsid w:val="00F7464E"/>
    <w:rsid w:val="00F75A38"/>
    <w:rsid w:val="00F75C78"/>
    <w:rsid w:val="00F76212"/>
    <w:rsid w:val="00F76438"/>
    <w:rsid w:val="00F764AD"/>
    <w:rsid w:val="00F765D8"/>
    <w:rsid w:val="00F76FB9"/>
    <w:rsid w:val="00F7711E"/>
    <w:rsid w:val="00F7734D"/>
    <w:rsid w:val="00F77661"/>
    <w:rsid w:val="00F77723"/>
    <w:rsid w:val="00F77EDF"/>
    <w:rsid w:val="00F80021"/>
    <w:rsid w:val="00F81580"/>
    <w:rsid w:val="00F818B0"/>
    <w:rsid w:val="00F83514"/>
    <w:rsid w:val="00F8367E"/>
    <w:rsid w:val="00F84034"/>
    <w:rsid w:val="00F84295"/>
    <w:rsid w:val="00F84AB4"/>
    <w:rsid w:val="00F84F0E"/>
    <w:rsid w:val="00F85BB4"/>
    <w:rsid w:val="00F85D6F"/>
    <w:rsid w:val="00F861C7"/>
    <w:rsid w:val="00F86379"/>
    <w:rsid w:val="00F863A4"/>
    <w:rsid w:val="00F863A7"/>
    <w:rsid w:val="00F86E1D"/>
    <w:rsid w:val="00F870F2"/>
    <w:rsid w:val="00F8731F"/>
    <w:rsid w:val="00F87A32"/>
    <w:rsid w:val="00F87D05"/>
    <w:rsid w:val="00F87EAF"/>
    <w:rsid w:val="00F90080"/>
    <w:rsid w:val="00F90267"/>
    <w:rsid w:val="00F90913"/>
    <w:rsid w:val="00F90A89"/>
    <w:rsid w:val="00F90B81"/>
    <w:rsid w:val="00F910B3"/>
    <w:rsid w:val="00F916C5"/>
    <w:rsid w:val="00F9283E"/>
    <w:rsid w:val="00F9299E"/>
    <w:rsid w:val="00F9307B"/>
    <w:rsid w:val="00F93DA9"/>
    <w:rsid w:val="00F93EC4"/>
    <w:rsid w:val="00F9411E"/>
    <w:rsid w:val="00F94ABB"/>
    <w:rsid w:val="00F95327"/>
    <w:rsid w:val="00F95525"/>
    <w:rsid w:val="00F957A2"/>
    <w:rsid w:val="00F959E8"/>
    <w:rsid w:val="00F95B03"/>
    <w:rsid w:val="00F96094"/>
    <w:rsid w:val="00F960A2"/>
    <w:rsid w:val="00F969E8"/>
    <w:rsid w:val="00F96A68"/>
    <w:rsid w:val="00F96B6A"/>
    <w:rsid w:val="00F96BDC"/>
    <w:rsid w:val="00F96CCD"/>
    <w:rsid w:val="00F971C4"/>
    <w:rsid w:val="00F9729B"/>
    <w:rsid w:val="00F97770"/>
    <w:rsid w:val="00FA00D1"/>
    <w:rsid w:val="00FA092F"/>
    <w:rsid w:val="00FA189B"/>
    <w:rsid w:val="00FA18CD"/>
    <w:rsid w:val="00FA1E13"/>
    <w:rsid w:val="00FA2322"/>
    <w:rsid w:val="00FA23E6"/>
    <w:rsid w:val="00FA26E7"/>
    <w:rsid w:val="00FA2AED"/>
    <w:rsid w:val="00FA2CA1"/>
    <w:rsid w:val="00FA3529"/>
    <w:rsid w:val="00FA35DC"/>
    <w:rsid w:val="00FA3683"/>
    <w:rsid w:val="00FA36A1"/>
    <w:rsid w:val="00FA3B8C"/>
    <w:rsid w:val="00FA4064"/>
    <w:rsid w:val="00FA42D3"/>
    <w:rsid w:val="00FA479A"/>
    <w:rsid w:val="00FA4AF3"/>
    <w:rsid w:val="00FA4C62"/>
    <w:rsid w:val="00FA4FBF"/>
    <w:rsid w:val="00FA506C"/>
    <w:rsid w:val="00FA5AEF"/>
    <w:rsid w:val="00FA6191"/>
    <w:rsid w:val="00FA64F6"/>
    <w:rsid w:val="00FA6632"/>
    <w:rsid w:val="00FA697C"/>
    <w:rsid w:val="00FA72B7"/>
    <w:rsid w:val="00FA73EC"/>
    <w:rsid w:val="00FA7421"/>
    <w:rsid w:val="00FA7FBE"/>
    <w:rsid w:val="00FB02D3"/>
    <w:rsid w:val="00FB1305"/>
    <w:rsid w:val="00FB13F2"/>
    <w:rsid w:val="00FB1CC5"/>
    <w:rsid w:val="00FB26E6"/>
    <w:rsid w:val="00FB2D1B"/>
    <w:rsid w:val="00FB2DA2"/>
    <w:rsid w:val="00FB2E75"/>
    <w:rsid w:val="00FB2EC0"/>
    <w:rsid w:val="00FB3629"/>
    <w:rsid w:val="00FB38DF"/>
    <w:rsid w:val="00FB3A2D"/>
    <w:rsid w:val="00FB3EC1"/>
    <w:rsid w:val="00FB48EE"/>
    <w:rsid w:val="00FB4CAE"/>
    <w:rsid w:val="00FB597E"/>
    <w:rsid w:val="00FB658B"/>
    <w:rsid w:val="00FB6DB0"/>
    <w:rsid w:val="00FB6E7C"/>
    <w:rsid w:val="00FB7455"/>
    <w:rsid w:val="00FB753F"/>
    <w:rsid w:val="00FB7743"/>
    <w:rsid w:val="00FB7B16"/>
    <w:rsid w:val="00FB7D4B"/>
    <w:rsid w:val="00FB7F21"/>
    <w:rsid w:val="00FB7FB9"/>
    <w:rsid w:val="00FC043B"/>
    <w:rsid w:val="00FC1294"/>
    <w:rsid w:val="00FC1846"/>
    <w:rsid w:val="00FC1A47"/>
    <w:rsid w:val="00FC223D"/>
    <w:rsid w:val="00FC2728"/>
    <w:rsid w:val="00FC2AB7"/>
    <w:rsid w:val="00FC328A"/>
    <w:rsid w:val="00FC3359"/>
    <w:rsid w:val="00FC3E9F"/>
    <w:rsid w:val="00FC3F8B"/>
    <w:rsid w:val="00FC4324"/>
    <w:rsid w:val="00FC4352"/>
    <w:rsid w:val="00FC4BF2"/>
    <w:rsid w:val="00FC5040"/>
    <w:rsid w:val="00FC615C"/>
    <w:rsid w:val="00FC62B3"/>
    <w:rsid w:val="00FC6C9F"/>
    <w:rsid w:val="00FC6EBD"/>
    <w:rsid w:val="00FC7326"/>
    <w:rsid w:val="00FC73C8"/>
    <w:rsid w:val="00FC73D8"/>
    <w:rsid w:val="00FC7428"/>
    <w:rsid w:val="00FC7A97"/>
    <w:rsid w:val="00FC7F5C"/>
    <w:rsid w:val="00FD01D0"/>
    <w:rsid w:val="00FD0803"/>
    <w:rsid w:val="00FD090F"/>
    <w:rsid w:val="00FD09EC"/>
    <w:rsid w:val="00FD0A2C"/>
    <w:rsid w:val="00FD1628"/>
    <w:rsid w:val="00FD1ACB"/>
    <w:rsid w:val="00FD2028"/>
    <w:rsid w:val="00FD28C6"/>
    <w:rsid w:val="00FD2DCD"/>
    <w:rsid w:val="00FD2F65"/>
    <w:rsid w:val="00FD3398"/>
    <w:rsid w:val="00FD3DD1"/>
    <w:rsid w:val="00FD456B"/>
    <w:rsid w:val="00FD46B3"/>
    <w:rsid w:val="00FD519D"/>
    <w:rsid w:val="00FD5AE3"/>
    <w:rsid w:val="00FD5EFC"/>
    <w:rsid w:val="00FD6202"/>
    <w:rsid w:val="00FD66B7"/>
    <w:rsid w:val="00FD6892"/>
    <w:rsid w:val="00FD6A4E"/>
    <w:rsid w:val="00FD6A8C"/>
    <w:rsid w:val="00FD6A97"/>
    <w:rsid w:val="00FD74ED"/>
    <w:rsid w:val="00FD79E8"/>
    <w:rsid w:val="00FD7B23"/>
    <w:rsid w:val="00FD7D81"/>
    <w:rsid w:val="00FE0179"/>
    <w:rsid w:val="00FE04E6"/>
    <w:rsid w:val="00FE071E"/>
    <w:rsid w:val="00FE08F4"/>
    <w:rsid w:val="00FE0AE8"/>
    <w:rsid w:val="00FE0CE5"/>
    <w:rsid w:val="00FE0FFD"/>
    <w:rsid w:val="00FE1498"/>
    <w:rsid w:val="00FE1B86"/>
    <w:rsid w:val="00FE1D3F"/>
    <w:rsid w:val="00FE1F5E"/>
    <w:rsid w:val="00FE228C"/>
    <w:rsid w:val="00FE2671"/>
    <w:rsid w:val="00FE2BE8"/>
    <w:rsid w:val="00FE3854"/>
    <w:rsid w:val="00FE39BC"/>
    <w:rsid w:val="00FE3EDF"/>
    <w:rsid w:val="00FE4002"/>
    <w:rsid w:val="00FE45C8"/>
    <w:rsid w:val="00FE4883"/>
    <w:rsid w:val="00FE4AB9"/>
    <w:rsid w:val="00FE517F"/>
    <w:rsid w:val="00FE541C"/>
    <w:rsid w:val="00FE54A3"/>
    <w:rsid w:val="00FE6902"/>
    <w:rsid w:val="00FE789D"/>
    <w:rsid w:val="00FE7ABD"/>
    <w:rsid w:val="00FF0712"/>
    <w:rsid w:val="00FF08B4"/>
    <w:rsid w:val="00FF0BDB"/>
    <w:rsid w:val="00FF0F1D"/>
    <w:rsid w:val="00FF199F"/>
    <w:rsid w:val="00FF289E"/>
    <w:rsid w:val="00FF2A7E"/>
    <w:rsid w:val="00FF2F49"/>
    <w:rsid w:val="00FF37A5"/>
    <w:rsid w:val="00FF3B14"/>
    <w:rsid w:val="00FF3CF3"/>
    <w:rsid w:val="00FF3D3D"/>
    <w:rsid w:val="00FF3F1B"/>
    <w:rsid w:val="00FF4282"/>
    <w:rsid w:val="00FF45B4"/>
    <w:rsid w:val="00FF51D7"/>
    <w:rsid w:val="00FF559F"/>
    <w:rsid w:val="00FF5CCD"/>
    <w:rsid w:val="00FF65A5"/>
    <w:rsid w:val="00FF673F"/>
    <w:rsid w:val="00FF707D"/>
    <w:rsid w:val="00FF76B8"/>
    <w:rsid w:val="00FF7BD5"/>
    <w:rsid w:val="00FF7E0A"/>
    <w:rsid w:val="00FF7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F18FA"/>
  <w15:chartTrackingRefBased/>
  <w15:docId w15:val="{A661F712-30BE-4F16-996D-89A823D9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8FD"/>
    <w:pPr>
      <w:spacing w:after="120"/>
    </w:pPr>
    <w:rPr>
      <w:rFonts w:ascii="Arial" w:hAnsi="Arial"/>
      <w:sz w:val="20"/>
    </w:rPr>
  </w:style>
  <w:style w:type="paragraph" w:styleId="Heading1">
    <w:name w:val="heading 1"/>
    <w:basedOn w:val="Normal"/>
    <w:next w:val="Normal"/>
    <w:link w:val="Heading1Char"/>
    <w:autoRedefine/>
    <w:uiPriority w:val="9"/>
    <w:qFormat/>
    <w:rsid w:val="00AB4665"/>
    <w:pPr>
      <w:keepNext/>
      <w:numPr>
        <w:numId w:val="2"/>
      </w:numPr>
      <w:spacing w:before="200" w:after="60" w:line="300" w:lineRule="exact"/>
      <w:ind w:left="431" w:hanging="431"/>
      <w:outlineLvl w:val="0"/>
    </w:pPr>
    <w:rPr>
      <w:rFonts w:eastAsiaTheme="majorEastAsia" w:cstheme="majorBidi"/>
      <w:b/>
      <w:spacing w:val="-2"/>
      <w:sz w:val="22"/>
      <w:szCs w:val="48"/>
    </w:rPr>
  </w:style>
  <w:style w:type="paragraph" w:styleId="Heading2">
    <w:name w:val="heading 2"/>
    <w:basedOn w:val="Normal"/>
    <w:next w:val="Normal"/>
    <w:link w:val="Heading2Char"/>
    <w:autoRedefine/>
    <w:uiPriority w:val="9"/>
    <w:unhideWhenUsed/>
    <w:qFormat/>
    <w:rsid w:val="005428FD"/>
    <w:pPr>
      <w:keepNext/>
      <w:numPr>
        <w:ilvl w:val="1"/>
        <w:numId w:val="2"/>
      </w:numPr>
      <w:spacing w:after="0" w:line="400" w:lineRule="exact"/>
      <w:ind w:left="578" w:hanging="578"/>
      <w:outlineLvl w:val="1"/>
    </w:pPr>
    <w:rPr>
      <w:rFonts w:eastAsiaTheme="majorEastAsia" w:cstheme="majorBidi"/>
      <w:b/>
      <w:bCs/>
      <w:iCs/>
      <w:spacing w:val="-2"/>
      <w:szCs w:val="32"/>
    </w:rPr>
  </w:style>
  <w:style w:type="paragraph" w:styleId="Heading3">
    <w:name w:val="heading 3"/>
    <w:basedOn w:val="Normal"/>
    <w:next w:val="Normal"/>
    <w:link w:val="Heading3Char"/>
    <w:autoRedefine/>
    <w:uiPriority w:val="9"/>
    <w:unhideWhenUsed/>
    <w:qFormat/>
    <w:rsid w:val="00CF10CF"/>
    <w:pPr>
      <w:keepNext/>
      <w:spacing w:line="260" w:lineRule="exact"/>
      <w:outlineLvl w:val="2"/>
    </w:pPr>
    <w:rPr>
      <w:rFonts w:eastAsiaTheme="majorEastAsia" w:cstheme="majorBidi"/>
      <w:b/>
      <w:spacing w:val="-2"/>
      <w:szCs w:val="20"/>
    </w:rPr>
  </w:style>
  <w:style w:type="paragraph" w:styleId="Heading4">
    <w:name w:val="heading 4"/>
    <w:basedOn w:val="Normal"/>
    <w:next w:val="Normal"/>
    <w:link w:val="Heading4Char"/>
    <w:uiPriority w:val="9"/>
    <w:unhideWhenUsed/>
    <w:qFormat/>
    <w:rsid w:val="00826D56"/>
    <w:pPr>
      <w:keepNext/>
      <w:keepLines/>
      <w:spacing w:before="80" w:after="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621082"/>
    <w:pPr>
      <w:keepNext/>
      <w:keepLines/>
      <w:numPr>
        <w:ilvl w:val="4"/>
        <w:numId w:val="2"/>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082"/>
    <w:pPr>
      <w:keepNext/>
      <w:keepLines/>
      <w:numPr>
        <w:ilvl w:val="5"/>
        <w:numId w:val="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082"/>
    <w:pPr>
      <w:keepNext/>
      <w:keepLines/>
      <w:numPr>
        <w:ilvl w:val="6"/>
        <w:numId w:val="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082"/>
    <w:pPr>
      <w:keepNext/>
      <w:keepLines/>
      <w:numPr>
        <w:ilvl w:val="7"/>
        <w:numId w:val="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082"/>
    <w:pPr>
      <w:keepNext/>
      <w:keepLines/>
      <w:numPr>
        <w:ilvl w:val="8"/>
        <w:numId w:val="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autoRedefine/>
    <w:uiPriority w:val="99"/>
    <w:qFormat/>
    <w:rsid w:val="00DE5F42"/>
    <w:pPr>
      <w:spacing w:line="276" w:lineRule="auto"/>
    </w:pPr>
    <w:rPr>
      <w:rFonts w:cs="Arial"/>
      <w:spacing w:val="-2"/>
      <w:kern w:val="0"/>
      <w14:ligatures w14:val="none"/>
    </w:rPr>
  </w:style>
  <w:style w:type="character" w:customStyle="1" w:styleId="Heading2Char">
    <w:name w:val="Heading 2 Char"/>
    <w:basedOn w:val="DefaultParagraphFont"/>
    <w:link w:val="Heading2"/>
    <w:uiPriority w:val="9"/>
    <w:rsid w:val="005428FD"/>
    <w:rPr>
      <w:rFonts w:ascii="Arial" w:eastAsiaTheme="majorEastAsia" w:hAnsi="Arial" w:cstheme="majorBidi"/>
      <w:b/>
      <w:bCs/>
      <w:iCs/>
      <w:spacing w:val="-2"/>
      <w:sz w:val="20"/>
      <w:szCs w:val="32"/>
    </w:rPr>
  </w:style>
  <w:style w:type="character" w:customStyle="1" w:styleId="Heading1Char">
    <w:name w:val="Heading 1 Char"/>
    <w:basedOn w:val="DefaultParagraphFont"/>
    <w:link w:val="Heading1"/>
    <w:uiPriority w:val="9"/>
    <w:rsid w:val="00AB4665"/>
    <w:rPr>
      <w:rFonts w:ascii="Arial" w:eastAsiaTheme="majorEastAsia" w:hAnsi="Arial" w:cstheme="majorBidi"/>
      <w:b/>
      <w:spacing w:val="-2"/>
      <w:szCs w:val="48"/>
    </w:rPr>
  </w:style>
  <w:style w:type="paragraph" w:styleId="ListParagraph">
    <w:name w:val="List Paragraph"/>
    <w:basedOn w:val="Normal"/>
    <w:link w:val="ListParagraphChar"/>
    <w:autoRedefine/>
    <w:uiPriority w:val="34"/>
    <w:qFormat/>
    <w:rsid w:val="00171B1C"/>
    <w:pPr>
      <w:numPr>
        <w:ilvl w:val="1"/>
        <w:numId w:val="39"/>
      </w:numPr>
      <w:spacing w:after="80" w:line="240" w:lineRule="auto"/>
      <w:ind w:left="2" w:firstLine="0"/>
    </w:pPr>
    <w:rPr>
      <w:spacing w:val="-2"/>
      <w:kern w:val="0"/>
      <w14:ligatures w14:val="none"/>
    </w:rPr>
  </w:style>
  <w:style w:type="paragraph" w:styleId="ListBullet">
    <w:name w:val="List Bullet"/>
    <w:basedOn w:val="Normal"/>
    <w:autoRedefine/>
    <w:uiPriority w:val="99"/>
    <w:unhideWhenUsed/>
    <w:qFormat/>
    <w:rsid w:val="00DE5F42"/>
    <w:pPr>
      <w:numPr>
        <w:numId w:val="1"/>
      </w:numPr>
      <w:spacing w:after="113" w:line="276" w:lineRule="auto"/>
    </w:pPr>
    <w:rPr>
      <w:rFonts w:cs="Arial"/>
      <w:spacing w:val="-2"/>
      <w:kern w:val="0"/>
      <w14:ligatures w14:val="none"/>
    </w:rPr>
  </w:style>
  <w:style w:type="character" w:customStyle="1" w:styleId="Heading3Char">
    <w:name w:val="Heading 3 Char"/>
    <w:basedOn w:val="DefaultParagraphFont"/>
    <w:link w:val="Heading3"/>
    <w:uiPriority w:val="9"/>
    <w:rsid w:val="00CF10CF"/>
    <w:rPr>
      <w:rFonts w:ascii="Arial" w:eastAsiaTheme="majorEastAsia" w:hAnsi="Arial" w:cstheme="majorBidi"/>
      <w:b/>
      <w:spacing w:val="-2"/>
      <w:sz w:val="20"/>
      <w:szCs w:val="20"/>
    </w:rPr>
  </w:style>
  <w:style w:type="paragraph" w:customStyle="1" w:styleId="AHESubheadingstyle4">
    <w:name w:val="AHE Subheading style 4"/>
    <w:basedOn w:val="Normal"/>
    <w:autoRedefine/>
    <w:qFormat/>
    <w:rsid w:val="00AC3492"/>
    <w:pPr>
      <w:spacing w:before="160" w:after="40" w:line="260" w:lineRule="exact"/>
    </w:pPr>
  </w:style>
  <w:style w:type="character" w:customStyle="1" w:styleId="Heading4Char">
    <w:name w:val="Heading 4 Char"/>
    <w:basedOn w:val="DefaultParagraphFont"/>
    <w:link w:val="Heading4"/>
    <w:uiPriority w:val="9"/>
    <w:rsid w:val="00826D56"/>
    <w:rPr>
      <w:rFonts w:ascii="Arial" w:eastAsiaTheme="majorEastAsia" w:hAnsi="Arial" w:cstheme="majorBidi"/>
      <w:i/>
      <w:iCs/>
      <w:sz w:val="20"/>
    </w:rPr>
  </w:style>
  <w:style w:type="character" w:customStyle="1" w:styleId="Heading5Char">
    <w:name w:val="Heading 5 Char"/>
    <w:basedOn w:val="DefaultParagraphFont"/>
    <w:link w:val="Heading5"/>
    <w:uiPriority w:val="9"/>
    <w:semiHidden/>
    <w:rsid w:val="00621082"/>
    <w:rPr>
      <w:rFonts w:ascii="Arial" w:eastAsiaTheme="majorEastAsia" w:hAnsi="Arial" w:cstheme="majorBidi"/>
      <w:color w:val="0F4761" w:themeColor="accent1" w:themeShade="BF"/>
      <w:sz w:val="20"/>
    </w:rPr>
  </w:style>
  <w:style w:type="character" w:customStyle="1" w:styleId="Heading6Char">
    <w:name w:val="Heading 6 Char"/>
    <w:basedOn w:val="DefaultParagraphFont"/>
    <w:link w:val="Heading6"/>
    <w:uiPriority w:val="9"/>
    <w:semiHidden/>
    <w:rsid w:val="00621082"/>
    <w:rPr>
      <w:rFonts w:ascii="Arial" w:eastAsiaTheme="majorEastAsia" w:hAnsi="Arial" w:cstheme="majorBidi"/>
      <w:i/>
      <w:iCs/>
      <w:color w:val="595959" w:themeColor="text1" w:themeTint="A6"/>
      <w:sz w:val="20"/>
    </w:rPr>
  </w:style>
  <w:style w:type="character" w:customStyle="1" w:styleId="Heading7Char">
    <w:name w:val="Heading 7 Char"/>
    <w:basedOn w:val="DefaultParagraphFont"/>
    <w:link w:val="Heading7"/>
    <w:uiPriority w:val="9"/>
    <w:semiHidden/>
    <w:rsid w:val="00621082"/>
    <w:rPr>
      <w:rFonts w:ascii="Arial" w:eastAsiaTheme="majorEastAsia" w:hAnsi="Arial" w:cstheme="majorBidi"/>
      <w:color w:val="595959" w:themeColor="text1" w:themeTint="A6"/>
      <w:sz w:val="20"/>
    </w:rPr>
  </w:style>
  <w:style w:type="character" w:customStyle="1" w:styleId="Heading8Char">
    <w:name w:val="Heading 8 Char"/>
    <w:basedOn w:val="DefaultParagraphFont"/>
    <w:link w:val="Heading8"/>
    <w:uiPriority w:val="9"/>
    <w:semiHidden/>
    <w:rsid w:val="00621082"/>
    <w:rPr>
      <w:rFonts w:ascii="Arial" w:eastAsiaTheme="majorEastAsia" w:hAnsi="Arial" w:cstheme="majorBidi"/>
      <w:i/>
      <w:iCs/>
      <w:color w:val="272727" w:themeColor="text1" w:themeTint="D8"/>
      <w:sz w:val="20"/>
    </w:rPr>
  </w:style>
  <w:style w:type="character" w:customStyle="1" w:styleId="Heading9Char">
    <w:name w:val="Heading 9 Char"/>
    <w:basedOn w:val="DefaultParagraphFont"/>
    <w:link w:val="Heading9"/>
    <w:uiPriority w:val="9"/>
    <w:semiHidden/>
    <w:rsid w:val="00621082"/>
    <w:rPr>
      <w:rFonts w:ascii="Arial" w:eastAsiaTheme="majorEastAsia" w:hAnsi="Arial" w:cstheme="majorBidi"/>
      <w:color w:val="272727" w:themeColor="text1" w:themeTint="D8"/>
      <w:sz w:val="20"/>
    </w:rPr>
  </w:style>
  <w:style w:type="paragraph" w:styleId="Title">
    <w:name w:val="Title"/>
    <w:basedOn w:val="Normal"/>
    <w:next w:val="Normal"/>
    <w:link w:val="TitleChar"/>
    <w:uiPriority w:val="10"/>
    <w:qFormat/>
    <w:rsid w:val="00621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0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0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0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082"/>
    <w:pPr>
      <w:spacing w:before="160"/>
      <w:jc w:val="center"/>
    </w:pPr>
    <w:rPr>
      <w:i/>
      <w:iCs/>
      <w:color w:val="404040" w:themeColor="text1" w:themeTint="BF"/>
    </w:rPr>
  </w:style>
  <w:style w:type="character" w:customStyle="1" w:styleId="QuoteChar">
    <w:name w:val="Quote Char"/>
    <w:basedOn w:val="DefaultParagraphFont"/>
    <w:link w:val="Quote"/>
    <w:uiPriority w:val="29"/>
    <w:rsid w:val="00621082"/>
    <w:rPr>
      <w:i/>
      <w:iCs/>
      <w:color w:val="404040" w:themeColor="text1" w:themeTint="BF"/>
    </w:rPr>
  </w:style>
  <w:style w:type="character" w:styleId="IntenseEmphasis">
    <w:name w:val="Intense Emphasis"/>
    <w:basedOn w:val="DefaultParagraphFont"/>
    <w:uiPriority w:val="21"/>
    <w:qFormat/>
    <w:rsid w:val="00621082"/>
    <w:rPr>
      <w:i/>
      <w:iCs/>
      <w:color w:val="0F4761" w:themeColor="accent1" w:themeShade="BF"/>
    </w:rPr>
  </w:style>
  <w:style w:type="paragraph" w:styleId="IntenseQuote">
    <w:name w:val="Intense Quote"/>
    <w:basedOn w:val="Normal"/>
    <w:next w:val="Normal"/>
    <w:link w:val="IntenseQuoteChar"/>
    <w:uiPriority w:val="30"/>
    <w:qFormat/>
    <w:rsid w:val="006210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082"/>
    <w:rPr>
      <w:i/>
      <w:iCs/>
      <w:color w:val="0F4761" w:themeColor="accent1" w:themeShade="BF"/>
    </w:rPr>
  </w:style>
  <w:style w:type="character" w:styleId="IntenseReference">
    <w:name w:val="Intense Reference"/>
    <w:basedOn w:val="DefaultParagraphFont"/>
    <w:uiPriority w:val="32"/>
    <w:qFormat/>
    <w:rsid w:val="00621082"/>
    <w:rPr>
      <w:b/>
      <w:bCs/>
      <w:smallCaps/>
      <w:color w:val="0F4761" w:themeColor="accent1" w:themeShade="BF"/>
      <w:spacing w:val="5"/>
    </w:rPr>
  </w:style>
  <w:style w:type="paragraph" w:customStyle="1" w:styleId="NumberedHeading">
    <w:name w:val="Numbered Heading"/>
    <w:basedOn w:val="Heading3"/>
    <w:next w:val="Normal"/>
    <w:link w:val="NumberedHeadingChar"/>
    <w:uiPriority w:val="2"/>
    <w:qFormat/>
    <w:rsid w:val="00CE4139"/>
    <w:pPr>
      <w:spacing w:line="276" w:lineRule="auto"/>
      <w:ind w:left="567" w:hanging="567"/>
    </w:pPr>
    <w:rPr>
      <w:b w:val="0"/>
      <w:spacing w:val="0"/>
      <w:kern w:val="32"/>
      <w:szCs w:val="24"/>
      <w14:ligatures w14:val="none"/>
    </w:rPr>
  </w:style>
  <w:style w:type="character" w:customStyle="1" w:styleId="NumberedHeadingChar">
    <w:name w:val="Numbered Heading Char"/>
    <w:basedOn w:val="DefaultParagraphFont"/>
    <w:link w:val="NumberedHeading"/>
    <w:uiPriority w:val="2"/>
    <w:locked/>
    <w:rsid w:val="00CE4139"/>
    <w:rPr>
      <w:rFonts w:ascii="Arial" w:eastAsiaTheme="majorEastAsia" w:hAnsi="Arial" w:cstheme="majorBidi"/>
      <w:b/>
      <w:kern w:val="32"/>
      <w:sz w:val="24"/>
      <w:szCs w:val="24"/>
      <w14:ligatures w14:val="none"/>
    </w:rPr>
  </w:style>
  <w:style w:type="table" w:styleId="TableGrid">
    <w:name w:val="Table Grid"/>
    <w:basedOn w:val="TableNormal"/>
    <w:uiPriority w:val="39"/>
    <w:rsid w:val="00AF5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60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0B4"/>
    <w:rPr>
      <w:rFonts w:ascii="Arial" w:hAnsi="Arial"/>
      <w:sz w:val="20"/>
    </w:rPr>
  </w:style>
  <w:style w:type="paragraph" w:styleId="Footer">
    <w:name w:val="footer"/>
    <w:basedOn w:val="Normal"/>
    <w:link w:val="FooterChar"/>
    <w:uiPriority w:val="99"/>
    <w:unhideWhenUsed/>
    <w:rsid w:val="003760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0B4"/>
    <w:rPr>
      <w:rFonts w:ascii="Arial" w:hAnsi="Arial"/>
      <w:sz w:val="20"/>
    </w:rPr>
  </w:style>
  <w:style w:type="paragraph" w:styleId="FootnoteText">
    <w:name w:val="footnote text"/>
    <w:basedOn w:val="Normal"/>
    <w:link w:val="FootnoteTextChar"/>
    <w:uiPriority w:val="99"/>
    <w:unhideWhenUsed/>
    <w:rsid w:val="00FA5AEF"/>
    <w:pPr>
      <w:spacing w:after="0" w:line="240" w:lineRule="auto"/>
    </w:pPr>
    <w:rPr>
      <w:szCs w:val="20"/>
    </w:rPr>
  </w:style>
  <w:style w:type="character" w:customStyle="1" w:styleId="FootnoteTextChar">
    <w:name w:val="Footnote Text Char"/>
    <w:basedOn w:val="DefaultParagraphFont"/>
    <w:link w:val="FootnoteText"/>
    <w:uiPriority w:val="99"/>
    <w:rsid w:val="00FA5AEF"/>
    <w:rPr>
      <w:rFonts w:ascii="Arial" w:hAnsi="Arial"/>
      <w:sz w:val="20"/>
      <w:szCs w:val="20"/>
    </w:rPr>
  </w:style>
  <w:style w:type="character" w:styleId="FootnoteReference">
    <w:name w:val="footnote reference"/>
    <w:basedOn w:val="DefaultParagraphFont"/>
    <w:uiPriority w:val="99"/>
    <w:semiHidden/>
    <w:unhideWhenUsed/>
    <w:rsid w:val="00FA5AEF"/>
    <w:rPr>
      <w:vertAlign w:val="superscript"/>
    </w:rPr>
  </w:style>
  <w:style w:type="character" w:styleId="Hyperlink">
    <w:name w:val="Hyperlink"/>
    <w:basedOn w:val="DefaultParagraphFont"/>
    <w:uiPriority w:val="99"/>
    <w:unhideWhenUsed/>
    <w:rsid w:val="008F1EB4"/>
    <w:rPr>
      <w:color w:val="467886" w:themeColor="hyperlink"/>
      <w:u w:val="single"/>
    </w:rPr>
  </w:style>
  <w:style w:type="character" w:styleId="UnresolvedMention">
    <w:name w:val="Unresolved Mention"/>
    <w:basedOn w:val="DefaultParagraphFont"/>
    <w:uiPriority w:val="99"/>
    <w:semiHidden/>
    <w:unhideWhenUsed/>
    <w:rsid w:val="008F1EB4"/>
    <w:rPr>
      <w:color w:val="605E5C"/>
      <w:shd w:val="clear" w:color="auto" w:fill="E1DFDD"/>
    </w:rPr>
  </w:style>
  <w:style w:type="character" w:styleId="CommentReference">
    <w:name w:val="annotation reference"/>
    <w:basedOn w:val="DefaultParagraphFont"/>
    <w:uiPriority w:val="99"/>
    <w:semiHidden/>
    <w:unhideWhenUsed/>
    <w:rsid w:val="00AE0FB4"/>
    <w:rPr>
      <w:sz w:val="16"/>
      <w:szCs w:val="16"/>
    </w:rPr>
  </w:style>
  <w:style w:type="paragraph" w:styleId="CommentText">
    <w:name w:val="annotation text"/>
    <w:basedOn w:val="Normal"/>
    <w:link w:val="CommentTextChar"/>
    <w:uiPriority w:val="99"/>
    <w:unhideWhenUsed/>
    <w:rsid w:val="00C44B1A"/>
    <w:pPr>
      <w:spacing w:line="240" w:lineRule="auto"/>
    </w:pPr>
    <w:rPr>
      <w:szCs w:val="20"/>
    </w:rPr>
  </w:style>
  <w:style w:type="character" w:customStyle="1" w:styleId="CommentTextChar">
    <w:name w:val="Comment Text Char"/>
    <w:basedOn w:val="DefaultParagraphFont"/>
    <w:link w:val="CommentText"/>
    <w:uiPriority w:val="99"/>
    <w:rsid w:val="00AE0F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E0FB4"/>
    <w:rPr>
      <w:b/>
      <w:bCs/>
    </w:rPr>
  </w:style>
  <w:style w:type="character" w:customStyle="1" w:styleId="CommentSubjectChar">
    <w:name w:val="Comment Subject Char"/>
    <w:basedOn w:val="CommentTextChar"/>
    <w:link w:val="CommentSubject"/>
    <w:uiPriority w:val="99"/>
    <w:semiHidden/>
    <w:rsid w:val="00AE0FB4"/>
    <w:rPr>
      <w:rFonts w:ascii="Arial" w:hAnsi="Arial"/>
      <w:b/>
      <w:bCs/>
      <w:sz w:val="20"/>
      <w:szCs w:val="20"/>
    </w:rPr>
  </w:style>
  <w:style w:type="paragraph" w:styleId="Revision">
    <w:name w:val="Revision"/>
    <w:hidden/>
    <w:uiPriority w:val="99"/>
    <w:semiHidden/>
    <w:rsid w:val="00AE0FB4"/>
    <w:pPr>
      <w:spacing w:after="0" w:line="240" w:lineRule="auto"/>
    </w:pPr>
    <w:rPr>
      <w:rFonts w:ascii="Arial" w:hAnsi="Arial"/>
      <w:sz w:val="20"/>
    </w:rPr>
  </w:style>
  <w:style w:type="paragraph" w:styleId="EndnoteText">
    <w:name w:val="endnote text"/>
    <w:basedOn w:val="Normal"/>
    <w:link w:val="EndnoteTextChar"/>
    <w:uiPriority w:val="99"/>
    <w:semiHidden/>
    <w:unhideWhenUsed/>
    <w:rsid w:val="000A5E5C"/>
    <w:pPr>
      <w:spacing w:after="0" w:line="240" w:lineRule="auto"/>
    </w:pPr>
    <w:rPr>
      <w:szCs w:val="20"/>
    </w:rPr>
  </w:style>
  <w:style w:type="character" w:customStyle="1" w:styleId="EndnoteTextChar">
    <w:name w:val="Endnote Text Char"/>
    <w:basedOn w:val="DefaultParagraphFont"/>
    <w:link w:val="EndnoteText"/>
    <w:uiPriority w:val="99"/>
    <w:semiHidden/>
    <w:rsid w:val="000A5E5C"/>
    <w:rPr>
      <w:rFonts w:ascii="Arial" w:hAnsi="Arial"/>
      <w:sz w:val="20"/>
      <w:szCs w:val="20"/>
    </w:rPr>
  </w:style>
  <w:style w:type="character" w:styleId="EndnoteReference">
    <w:name w:val="endnote reference"/>
    <w:basedOn w:val="DefaultParagraphFont"/>
    <w:uiPriority w:val="99"/>
    <w:semiHidden/>
    <w:unhideWhenUsed/>
    <w:rsid w:val="000A5E5C"/>
    <w:rPr>
      <w:vertAlign w:val="superscript"/>
    </w:rPr>
  </w:style>
  <w:style w:type="paragraph" w:customStyle="1" w:styleId="Box">
    <w:name w:val="Box"/>
    <w:basedOn w:val="Normal"/>
    <w:link w:val="BoxChar"/>
    <w:autoRedefine/>
    <w:qFormat/>
    <w:rsid w:val="00941930"/>
    <w:pPr>
      <w:spacing w:after="80" w:line="240" w:lineRule="auto"/>
    </w:pPr>
  </w:style>
  <w:style w:type="character" w:customStyle="1" w:styleId="BoxChar">
    <w:name w:val="Box Char"/>
    <w:basedOn w:val="DefaultParagraphFont"/>
    <w:link w:val="Box"/>
    <w:rsid w:val="00941930"/>
    <w:rPr>
      <w:rFonts w:ascii="Arial" w:hAnsi="Arial"/>
      <w:sz w:val="20"/>
    </w:rPr>
  </w:style>
  <w:style w:type="paragraph" w:styleId="TOCHeading">
    <w:name w:val="TOC Heading"/>
    <w:basedOn w:val="Heading1"/>
    <w:next w:val="Normal"/>
    <w:uiPriority w:val="39"/>
    <w:unhideWhenUsed/>
    <w:qFormat/>
    <w:rsid w:val="00AF7D47"/>
    <w:pPr>
      <w:keepLines/>
      <w:numPr>
        <w:numId w:val="0"/>
      </w:numPr>
      <w:spacing w:before="240" w:after="0" w:line="259" w:lineRule="auto"/>
      <w:outlineLvl w:val="9"/>
    </w:pPr>
    <w:rPr>
      <w:rFonts w:asciiTheme="majorHAnsi" w:hAnsiTheme="majorHAnsi"/>
      <w:b w:val="0"/>
      <w:color w:val="0F4761" w:themeColor="accent1" w:themeShade="BF"/>
      <w:spacing w:val="0"/>
      <w:kern w:val="0"/>
      <w:sz w:val="32"/>
      <w:szCs w:val="32"/>
      <w:lang w:val="en-US"/>
      <w14:ligatures w14:val="none"/>
    </w:rPr>
  </w:style>
  <w:style w:type="paragraph" w:styleId="TOC1">
    <w:name w:val="toc 1"/>
    <w:basedOn w:val="Normal"/>
    <w:next w:val="Normal"/>
    <w:autoRedefine/>
    <w:uiPriority w:val="39"/>
    <w:unhideWhenUsed/>
    <w:rsid w:val="00AF7D47"/>
    <w:pPr>
      <w:spacing w:after="100"/>
    </w:pPr>
  </w:style>
  <w:style w:type="paragraph" w:styleId="TOC2">
    <w:name w:val="toc 2"/>
    <w:basedOn w:val="Normal"/>
    <w:next w:val="Normal"/>
    <w:autoRedefine/>
    <w:uiPriority w:val="39"/>
    <w:unhideWhenUsed/>
    <w:rsid w:val="00AF7D47"/>
    <w:pPr>
      <w:spacing w:after="100"/>
      <w:ind w:left="200"/>
    </w:pPr>
  </w:style>
  <w:style w:type="paragraph" w:styleId="TOC3">
    <w:name w:val="toc 3"/>
    <w:basedOn w:val="Normal"/>
    <w:next w:val="Normal"/>
    <w:autoRedefine/>
    <w:uiPriority w:val="39"/>
    <w:unhideWhenUsed/>
    <w:rsid w:val="00AF7D47"/>
    <w:pPr>
      <w:spacing w:after="100"/>
      <w:ind w:left="400"/>
    </w:pPr>
  </w:style>
  <w:style w:type="paragraph" w:customStyle="1" w:styleId="Gap">
    <w:name w:val="Gap"/>
    <w:basedOn w:val="Normal"/>
    <w:link w:val="GapChar"/>
    <w:qFormat/>
    <w:rsid w:val="00683C86"/>
  </w:style>
  <w:style w:type="character" w:customStyle="1" w:styleId="GapChar">
    <w:name w:val="Gap Char"/>
    <w:basedOn w:val="DefaultParagraphFont"/>
    <w:link w:val="Gap"/>
    <w:rsid w:val="00683C86"/>
    <w:rPr>
      <w:rFonts w:ascii="Arial" w:hAnsi="Arial"/>
      <w:sz w:val="20"/>
    </w:rPr>
  </w:style>
  <w:style w:type="paragraph" w:customStyle="1" w:styleId="Indent">
    <w:name w:val="Indent"/>
    <w:basedOn w:val="Normal"/>
    <w:link w:val="IndentChar"/>
    <w:qFormat/>
    <w:rsid w:val="00414359"/>
    <w:pPr>
      <w:spacing w:before="120" w:line="276" w:lineRule="auto"/>
    </w:pPr>
  </w:style>
  <w:style w:type="character" w:customStyle="1" w:styleId="IndentChar">
    <w:name w:val="Indent Char"/>
    <w:basedOn w:val="DefaultParagraphFont"/>
    <w:link w:val="Indent"/>
    <w:rsid w:val="00414359"/>
    <w:rPr>
      <w:rFonts w:ascii="Arial" w:hAnsi="Arial"/>
      <w:sz w:val="20"/>
    </w:rPr>
  </w:style>
  <w:style w:type="paragraph" w:customStyle="1" w:styleId="Boxsmall">
    <w:name w:val="Box small"/>
    <w:basedOn w:val="Normal"/>
    <w:link w:val="BoxsmallChar"/>
    <w:autoRedefine/>
    <w:qFormat/>
    <w:rsid w:val="00171B1C"/>
    <w:pPr>
      <w:spacing w:after="80" w:line="240" w:lineRule="auto"/>
      <w:jc w:val="center"/>
    </w:pPr>
  </w:style>
  <w:style w:type="character" w:customStyle="1" w:styleId="BoxsmallChar">
    <w:name w:val="Box small Char"/>
    <w:basedOn w:val="DefaultParagraphFont"/>
    <w:link w:val="Boxsmall"/>
    <w:rsid w:val="00171B1C"/>
    <w:rPr>
      <w:rFonts w:ascii="Arial" w:hAnsi="Arial"/>
      <w:sz w:val="20"/>
    </w:rPr>
  </w:style>
  <w:style w:type="paragraph" w:customStyle="1" w:styleId="Bullet">
    <w:name w:val="Bullet"/>
    <w:basedOn w:val="ListParagraph"/>
    <w:link w:val="BulletChar"/>
    <w:qFormat/>
    <w:rsid w:val="00AB4665"/>
    <w:pPr>
      <w:numPr>
        <w:ilvl w:val="0"/>
        <w:numId w:val="47"/>
      </w:numPr>
    </w:pPr>
    <w:rPr>
      <w:i/>
      <w:iCs/>
    </w:rPr>
  </w:style>
  <w:style w:type="character" w:customStyle="1" w:styleId="ListParagraphChar">
    <w:name w:val="List Paragraph Char"/>
    <w:basedOn w:val="DefaultParagraphFont"/>
    <w:link w:val="ListParagraph"/>
    <w:uiPriority w:val="34"/>
    <w:rsid w:val="00AB4665"/>
    <w:rPr>
      <w:rFonts w:ascii="Arial" w:hAnsi="Arial"/>
      <w:spacing w:val="-2"/>
      <w:kern w:val="0"/>
      <w:sz w:val="20"/>
      <w14:ligatures w14:val="none"/>
    </w:rPr>
  </w:style>
  <w:style w:type="character" w:customStyle="1" w:styleId="BulletChar">
    <w:name w:val="Bullet Char"/>
    <w:basedOn w:val="ListParagraphChar"/>
    <w:link w:val="Bullet"/>
    <w:rsid w:val="00AB4665"/>
    <w:rPr>
      <w:rFonts w:ascii="Arial" w:hAnsi="Arial"/>
      <w:i/>
      <w:iCs/>
      <w:spacing w:val="-2"/>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0754">
      <w:bodyDiv w:val="1"/>
      <w:marLeft w:val="0"/>
      <w:marRight w:val="0"/>
      <w:marTop w:val="0"/>
      <w:marBottom w:val="0"/>
      <w:divBdr>
        <w:top w:val="none" w:sz="0" w:space="0" w:color="auto"/>
        <w:left w:val="none" w:sz="0" w:space="0" w:color="auto"/>
        <w:bottom w:val="none" w:sz="0" w:space="0" w:color="auto"/>
        <w:right w:val="none" w:sz="0" w:space="0" w:color="auto"/>
      </w:divBdr>
    </w:div>
    <w:div w:id="108938755">
      <w:bodyDiv w:val="1"/>
      <w:marLeft w:val="0"/>
      <w:marRight w:val="0"/>
      <w:marTop w:val="0"/>
      <w:marBottom w:val="0"/>
      <w:divBdr>
        <w:top w:val="none" w:sz="0" w:space="0" w:color="auto"/>
        <w:left w:val="none" w:sz="0" w:space="0" w:color="auto"/>
        <w:bottom w:val="none" w:sz="0" w:space="0" w:color="auto"/>
        <w:right w:val="none" w:sz="0" w:space="0" w:color="auto"/>
      </w:divBdr>
    </w:div>
    <w:div w:id="357043914">
      <w:bodyDiv w:val="1"/>
      <w:marLeft w:val="0"/>
      <w:marRight w:val="0"/>
      <w:marTop w:val="0"/>
      <w:marBottom w:val="0"/>
      <w:divBdr>
        <w:top w:val="none" w:sz="0" w:space="0" w:color="auto"/>
        <w:left w:val="none" w:sz="0" w:space="0" w:color="auto"/>
        <w:bottom w:val="none" w:sz="0" w:space="0" w:color="auto"/>
        <w:right w:val="none" w:sz="0" w:space="0" w:color="auto"/>
      </w:divBdr>
    </w:div>
    <w:div w:id="542905670">
      <w:bodyDiv w:val="1"/>
      <w:marLeft w:val="0"/>
      <w:marRight w:val="0"/>
      <w:marTop w:val="0"/>
      <w:marBottom w:val="0"/>
      <w:divBdr>
        <w:top w:val="none" w:sz="0" w:space="0" w:color="auto"/>
        <w:left w:val="none" w:sz="0" w:space="0" w:color="auto"/>
        <w:bottom w:val="none" w:sz="0" w:space="0" w:color="auto"/>
        <w:right w:val="none" w:sz="0" w:space="0" w:color="auto"/>
      </w:divBdr>
    </w:div>
    <w:div w:id="702173194">
      <w:bodyDiv w:val="1"/>
      <w:marLeft w:val="0"/>
      <w:marRight w:val="0"/>
      <w:marTop w:val="0"/>
      <w:marBottom w:val="0"/>
      <w:divBdr>
        <w:top w:val="none" w:sz="0" w:space="0" w:color="auto"/>
        <w:left w:val="none" w:sz="0" w:space="0" w:color="auto"/>
        <w:bottom w:val="none" w:sz="0" w:space="0" w:color="auto"/>
        <w:right w:val="none" w:sz="0" w:space="0" w:color="auto"/>
      </w:divBdr>
    </w:div>
    <w:div w:id="733621897">
      <w:bodyDiv w:val="1"/>
      <w:marLeft w:val="0"/>
      <w:marRight w:val="0"/>
      <w:marTop w:val="0"/>
      <w:marBottom w:val="0"/>
      <w:divBdr>
        <w:top w:val="none" w:sz="0" w:space="0" w:color="auto"/>
        <w:left w:val="none" w:sz="0" w:space="0" w:color="auto"/>
        <w:bottom w:val="none" w:sz="0" w:space="0" w:color="auto"/>
        <w:right w:val="none" w:sz="0" w:space="0" w:color="auto"/>
      </w:divBdr>
    </w:div>
    <w:div w:id="739864718">
      <w:bodyDiv w:val="1"/>
      <w:marLeft w:val="0"/>
      <w:marRight w:val="0"/>
      <w:marTop w:val="0"/>
      <w:marBottom w:val="0"/>
      <w:divBdr>
        <w:top w:val="none" w:sz="0" w:space="0" w:color="auto"/>
        <w:left w:val="none" w:sz="0" w:space="0" w:color="auto"/>
        <w:bottom w:val="none" w:sz="0" w:space="0" w:color="auto"/>
        <w:right w:val="none" w:sz="0" w:space="0" w:color="auto"/>
      </w:divBdr>
    </w:div>
    <w:div w:id="824398995">
      <w:bodyDiv w:val="1"/>
      <w:marLeft w:val="0"/>
      <w:marRight w:val="0"/>
      <w:marTop w:val="0"/>
      <w:marBottom w:val="0"/>
      <w:divBdr>
        <w:top w:val="none" w:sz="0" w:space="0" w:color="auto"/>
        <w:left w:val="none" w:sz="0" w:space="0" w:color="auto"/>
        <w:bottom w:val="none" w:sz="0" w:space="0" w:color="auto"/>
        <w:right w:val="none" w:sz="0" w:space="0" w:color="auto"/>
      </w:divBdr>
    </w:div>
    <w:div w:id="906188297">
      <w:bodyDiv w:val="1"/>
      <w:marLeft w:val="0"/>
      <w:marRight w:val="0"/>
      <w:marTop w:val="0"/>
      <w:marBottom w:val="0"/>
      <w:divBdr>
        <w:top w:val="none" w:sz="0" w:space="0" w:color="auto"/>
        <w:left w:val="none" w:sz="0" w:space="0" w:color="auto"/>
        <w:bottom w:val="none" w:sz="0" w:space="0" w:color="auto"/>
        <w:right w:val="none" w:sz="0" w:space="0" w:color="auto"/>
      </w:divBdr>
    </w:div>
    <w:div w:id="1049719576">
      <w:bodyDiv w:val="1"/>
      <w:marLeft w:val="0"/>
      <w:marRight w:val="0"/>
      <w:marTop w:val="0"/>
      <w:marBottom w:val="0"/>
      <w:divBdr>
        <w:top w:val="none" w:sz="0" w:space="0" w:color="auto"/>
        <w:left w:val="none" w:sz="0" w:space="0" w:color="auto"/>
        <w:bottom w:val="none" w:sz="0" w:space="0" w:color="auto"/>
        <w:right w:val="none" w:sz="0" w:space="0" w:color="auto"/>
      </w:divBdr>
    </w:div>
    <w:div w:id="1130981044">
      <w:bodyDiv w:val="1"/>
      <w:marLeft w:val="0"/>
      <w:marRight w:val="0"/>
      <w:marTop w:val="0"/>
      <w:marBottom w:val="0"/>
      <w:divBdr>
        <w:top w:val="none" w:sz="0" w:space="0" w:color="auto"/>
        <w:left w:val="none" w:sz="0" w:space="0" w:color="auto"/>
        <w:bottom w:val="none" w:sz="0" w:space="0" w:color="auto"/>
        <w:right w:val="none" w:sz="0" w:space="0" w:color="auto"/>
      </w:divBdr>
    </w:div>
    <w:div w:id="1204169246">
      <w:bodyDiv w:val="1"/>
      <w:marLeft w:val="0"/>
      <w:marRight w:val="0"/>
      <w:marTop w:val="0"/>
      <w:marBottom w:val="0"/>
      <w:divBdr>
        <w:top w:val="none" w:sz="0" w:space="0" w:color="auto"/>
        <w:left w:val="none" w:sz="0" w:space="0" w:color="auto"/>
        <w:bottom w:val="none" w:sz="0" w:space="0" w:color="auto"/>
        <w:right w:val="none" w:sz="0" w:space="0" w:color="auto"/>
      </w:divBdr>
    </w:div>
    <w:div w:id="1221205721">
      <w:bodyDiv w:val="1"/>
      <w:marLeft w:val="0"/>
      <w:marRight w:val="0"/>
      <w:marTop w:val="0"/>
      <w:marBottom w:val="0"/>
      <w:divBdr>
        <w:top w:val="none" w:sz="0" w:space="0" w:color="auto"/>
        <w:left w:val="none" w:sz="0" w:space="0" w:color="auto"/>
        <w:bottom w:val="none" w:sz="0" w:space="0" w:color="auto"/>
        <w:right w:val="none" w:sz="0" w:space="0" w:color="auto"/>
      </w:divBdr>
    </w:div>
    <w:div w:id="1339455877">
      <w:bodyDiv w:val="1"/>
      <w:marLeft w:val="0"/>
      <w:marRight w:val="0"/>
      <w:marTop w:val="0"/>
      <w:marBottom w:val="0"/>
      <w:divBdr>
        <w:top w:val="none" w:sz="0" w:space="0" w:color="auto"/>
        <w:left w:val="none" w:sz="0" w:space="0" w:color="auto"/>
        <w:bottom w:val="none" w:sz="0" w:space="0" w:color="auto"/>
        <w:right w:val="none" w:sz="0" w:space="0" w:color="auto"/>
      </w:divBdr>
    </w:div>
    <w:div w:id="1366179808">
      <w:bodyDiv w:val="1"/>
      <w:marLeft w:val="0"/>
      <w:marRight w:val="0"/>
      <w:marTop w:val="0"/>
      <w:marBottom w:val="0"/>
      <w:divBdr>
        <w:top w:val="none" w:sz="0" w:space="0" w:color="auto"/>
        <w:left w:val="none" w:sz="0" w:space="0" w:color="auto"/>
        <w:bottom w:val="none" w:sz="0" w:space="0" w:color="auto"/>
        <w:right w:val="none" w:sz="0" w:space="0" w:color="auto"/>
      </w:divBdr>
      <w:divsChild>
        <w:div w:id="960766070">
          <w:marLeft w:val="547"/>
          <w:marRight w:val="0"/>
          <w:marTop w:val="0"/>
          <w:marBottom w:val="0"/>
          <w:divBdr>
            <w:top w:val="none" w:sz="0" w:space="0" w:color="auto"/>
            <w:left w:val="none" w:sz="0" w:space="0" w:color="auto"/>
            <w:bottom w:val="none" w:sz="0" w:space="0" w:color="auto"/>
            <w:right w:val="none" w:sz="0" w:space="0" w:color="auto"/>
          </w:divBdr>
        </w:div>
      </w:divsChild>
    </w:div>
    <w:div w:id="1393963770">
      <w:bodyDiv w:val="1"/>
      <w:marLeft w:val="0"/>
      <w:marRight w:val="0"/>
      <w:marTop w:val="0"/>
      <w:marBottom w:val="0"/>
      <w:divBdr>
        <w:top w:val="none" w:sz="0" w:space="0" w:color="auto"/>
        <w:left w:val="none" w:sz="0" w:space="0" w:color="auto"/>
        <w:bottom w:val="none" w:sz="0" w:space="0" w:color="auto"/>
        <w:right w:val="none" w:sz="0" w:space="0" w:color="auto"/>
      </w:divBdr>
      <w:divsChild>
        <w:div w:id="1387412491">
          <w:marLeft w:val="720"/>
          <w:marRight w:val="0"/>
          <w:marTop w:val="0"/>
          <w:marBottom w:val="0"/>
          <w:divBdr>
            <w:top w:val="none" w:sz="0" w:space="0" w:color="auto"/>
            <w:left w:val="none" w:sz="0" w:space="0" w:color="auto"/>
            <w:bottom w:val="none" w:sz="0" w:space="0" w:color="auto"/>
            <w:right w:val="none" w:sz="0" w:space="0" w:color="auto"/>
          </w:divBdr>
        </w:div>
        <w:div w:id="903493404">
          <w:marLeft w:val="720"/>
          <w:marRight w:val="0"/>
          <w:marTop w:val="0"/>
          <w:marBottom w:val="0"/>
          <w:divBdr>
            <w:top w:val="none" w:sz="0" w:space="0" w:color="auto"/>
            <w:left w:val="none" w:sz="0" w:space="0" w:color="auto"/>
            <w:bottom w:val="none" w:sz="0" w:space="0" w:color="auto"/>
            <w:right w:val="none" w:sz="0" w:space="0" w:color="auto"/>
          </w:divBdr>
        </w:div>
        <w:div w:id="873736708">
          <w:marLeft w:val="720"/>
          <w:marRight w:val="0"/>
          <w:marTop w:val="0"/>
          <w:marBottom w:val="0"/>
          <w:divBdr>
            <w:top w:val="none" w:sz="0" w:space="0" w:color="auto"/>
            <w:left w:val="none" w:sz="0" w:space="0" w:color="auto"/>
            <w:bottom w:val="none" w:sz="0" w:space="0" w:color="auto"/>
            <w:right w:val="none" w:sz="0" w:space="0" w:color="auto"/>
          </w:divBdr>
        </w:div>
        <w:div w:id="741022157">
          <w:marLeft w:val="720"/>
          <w:marRight w:val="0"/>
          <w:marTop w:val="0"/>
          <w:marBottom w:val="0"/>
          <w:divBdr>
            <w:top w:val="none" w:sz="0" w:space="0" w:color="auto"/>
            <w:left w:val="none" w:sz="0" w:space="0" w:color="auto"/>
            <w:bottom w:val="none" w:sz="0" w:space="0" w:color="auto"/>
            <w:right w:val="none" w:sz="0" w:space="0" w:color="auto"/>
          </w:divBdr>
        </w:div>
      </w:divsChild>
    </w:div>
    <w:div w:id="1461532280">
      <w:bodyDiv w:val="1"/>
      <w:marLeft w:val="0"/>
      <w:marRight w:val="0"/>
      <w:marTop w:val="0"/>
      <w:marBottom w:val="0"/>
      <w:divBdr>
        <w:top w:val="none" w:sz="0" w:space="0" w:color="auto"/>
        <w:left w:val="none" w:sz="0" w:space="0" w:color="auto"/>
        <w:bottom w:val="none" w:sz="0" w:space="0" w:color="auto"/>
        <w:right w:val="none" w:sz="0" w:space="0" w:color="auto"/>
      </w:divBdr>
    </w:div>
    <w:div w:id="1506093264">
      <w:bodyDiv w:val="1"/>
      <w:marLeft w:val="0"/>
      <w:marRight w:val="0"/>
      <w:marTop w:val="0"/>
      <w:marBottom w:val="0"/>
      <w:divBdr>
        <w:top w:val="none" w:sz="0" w:space="0" w:color="auto"/>
        <w:left w:val="none" w:sz="0" w:space="0" w:color="auto"/>
        <w:bottom w:val="none" w:sz="0" w:space="0" w:color="auto"/>
        <w:right w:val="none" w:sz="0" w:space="0" w:color="auto"/>
      </w:divBdr>
    </w:div>
    <w:div w:id="1551528217">
      <w:bodyDiv w:val="1"/>
      <w:marLeft w:val="0"/>
      <w:marRight w:val="0"/>
      <w:marTop w:val="0"/>
      <w:marBottom w:val="0"/>
      <w:divBdr>
        <w:top w:val="none" w:sz="0" w:space="0" w:color="auto"/>
        <w:left w:val="none" w:sz="0" w:space="0" w:color="auto"/>
        <w:bottom w:val="none" w:sz="0" w:space="0" w:color="auto"/>
        <w:right w:val="none" w:sz="0" w:space="0" w:color="auto"/>
      </w:divBdr>
    </w:div>
    <w:div w:id="1551841897">
      <w:bodyDiv w:val="1"/>
      <w:marLeft w:val="0"/>
      <w:marRight w:val="0"/>
      <w:marTop w:val="0"/>
      <w:marBottom w:val="0"/>
      <w:divBdr>
        <w:top w:val="none" w:sz="0" w:space="0" w:color="auto"/>
        <w:left w:val="none" w:sz="0" w:space="0" w:color="auto"/>
        <w:bottom w:val="none" w:sz="0" w:space="0" w:color="auto"/>
        <w:right w:val="none" w:sz="0" w:space="0" w:color="auto"/>
      </w:divBdr>
    </w:div>
    <w:div w:id="1637445604">
      <w:bodyDiv w:val="1"/>
      <w:marLeft w:val="0"/>
      <w:marRight w:val="0"/>
      <w:marTop w:val="0"/>
      <w:marBottom w:val="0"/>
      <w:divBdr>
        <w:top w:val="none" w:sz="0" w:space="0" w:color="auto"/>
        <w:left w:val="none" w:sz="0" w:space="0" w:color="auto"/>
        <w:bottom w:val="none" w:sz="0" w:space="0" w:color="auto"/>
        <w:right w:val="none" w:sz="0" w:space="0" w:color="auto"/>
      </w:divBdr>
      <w:divsChild>
        <w:div w:id="1862350651">
          <w:marLeft w:val="720"/>
          <w:marRight w:val="0"/>
          <w:marTop w:val="0"/>
          <w:marBottom w:val="120"/>
          <w:divBdr>
            <w:top w:val="none" w:sz="0" w:space="0" w:color="auto"/>
            <w:left w:val="none" w:sz="0" w:space="0" w:color="auto"/>
            <w:bottom w:val="none" w:sz="0" w:space="0" w:color="auto"/>
            <w:right w:val="none" w:sz="0" w:space="0" w:color="auto"/>
          </w:divBdr>
        </w:div>
      </w:divsChild>
    </w:div>
    <w:div w:id="1711371822">
      <w:bodyDiv w:val="1"/>
      <w:marLeft w:val="0"/>
      <w:marRight w:val="0"/>
      <w:marTop w:val="0"/>
      <w:marBottom w:val="0"/>
      <w:divBdr>
        <w:top w:val="none" w:sz="0" w:space="0" w:color="auto"/>
        <w:left w:val="none" w:sz="0" w:space="0" w:color="auto"/>
        <w:bottom w:val="none" w:sz="0" w:space="0" w:color="auto"/>
        <w:right w:val="none" w:sz="0" w:space="0" w:color="auto"/>
      </w:divBdr>
    </w:div>
    <w:div w:id="1735203998">
      <w:bodyDiv w:val="1"/>
      <w:marLeft w:val="0"/>
      <w:marRight w:val="0"/>
      <w:marTop w:val="0"/>
      <w:marBottom w:val="0"/>
      <w:divBdr>
        <w:top w:val="none" w:sz="0" w:space="0" w:color="auto"/>
        <w:left w:val="none" w:sz="0" w:space="0" w:color="auto"/>
        <w:bottom w:val="none" w:sz="0" w:space="0" w:color="auto"/>
        <w:right w:val="none" w:sz="0" w:space="0" w:color="auto"/>
      </w:divBdr>
    </w:div>
    <w:div w:id="1785151268">
      <w:bodyDiv w:val="1"/>
      <w:marLeft w:val="0"/>
      <w:marRight w:val="0"/>
      <w:marTop w:val="0"/>
      <w:marBottom w:val="0"/>
      <w:divBdr>
        <w:top w:val="none" w:sz="0" w:space="0" w:color="auto"/>
        <w:left w:val="none" w:sz="0" w:space="0" w:color="auto"/>
        <w:bottom w:val="none" w:sz="0" w:space="0" w:color="auto"/>
        <w:right w:val="none" w:sz="0" w:space="0" w:color="auto"/>
      </w:divBdr>
    </w:div>
    <w:div w:id="207600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hyperlink" Target="mailto:jm3196@bath.ac.uk"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CBCD5-4412-4D70-8930-9EB3AFEEC938}">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38</Pages>
  <Words>23027</Words>
  <Characters>131255</Characters>
  <Application>Microsoft Office Word</Application>
  <DocSecurity>0</DocSecurity>
  <Lines>1093</Lines>
  <Paragraphs>307</Paragraphs>
  <ScaleCrop>false</ScaleCrop>
  <HeadingPairs>
    <vt:vector size="2" baseType="variant">
      <vt:variant>
        <vt:lpstr>Title</vt:lpstr>
      </vt:variant>
      <vt:variant>
        <vt:i4>1</vt:i4>
      </vt:variant>
    </vt:vector>
  </HeadingPairs>
  <TitlesOfParts>
    <vt:vector size="1" baseType="lpstr">
      <vt:lpstr>Standards of evaluation research: Interim report</vt:lpstr>
    </vt:vector>
  </TitlesOfParts>
  <Company>University of Bath</Company>
  <LinksUpToDate>false</LinksUpToDate>
  <CharactersWithSpaces>153975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of evaluation research: Interim report</dc:title>
  <dc:subject/>
  <dc:creator>Joanne Moore</dc:creator>
  <cp:keywords/>
  <dc:description>Draft for comments</dc:description>
  <cp:lastModifiedBy>Annette Hayton</cp:lastModifiedBy>
  <cp:revision>3</cp:revision>
  <cp:lastPrinted>2025-11-27T17:13:00Z</cp:lastPrinted>
  <dcterms:created xsi:type="dcterms:W3CDTF">2025-11-27T17:13:00Z</dcterms:created>
  <dcterms:modified xsi:type="dcterms:W3CDTF">2025-11-27T17:14:00Z</dcterms:modified>
</cp:coreProperties>
</file>