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465C8" w14:textId="6FE28E6F" w:rsidR="00DF21E4" w:rsidRDefault="00DF21E4" w:rsidP="00DF21E4">
      <w:pPr>
        <w:jc w:val="center"/>
        <w:rPr>
          <w:rFonts w:ascii="Garamond" w:hAnsi="Garamond" w:cs="Times New Roman"/>
          <w:b/>
          <w:sz w:val="24"/>
          <w:szCs w:val="24"/>
        </w:rPr>
      </w:pPr>
      <w:r w:rsidRPr="00DF5E96">
        <w:rPr>
          <w:rFonts w:ascii="Garamond" w:hAnsi="Garamond" w:cs="Times New Roman"/>
          <w:b/>
          <w:sz w:val="24"/>
          <w:szCs w:val="24"/>
        </w:rPr>
        <w:t>The Capability Approach and Inclusive University Education</w:t>
      </w:r>
    </w:p>
    <w:p w14:paraId="632EE530" w14:textId="24E39FB7" w:rsidR="00BC5D3D" w:rsidRDefault="00BC5D3D" w:rsidP="00BC5D3D">
      <w:pPr>
        <w:rPr>
          <w:rFonts w:ascii="Garamond" w:hAnsi="Garamond" w:cs="Times New Roman"/>
          <w:sz w:val="24"/>
          <w:szCs w:val="24"/>
        </w:rPr>
      </w:pPr>
      <w:r>
        <w:rPr>
          <w:rFonts w:ascii="Garamond" w:hAnsi="Garamond" w:cs="Times New Roman"/>
          <w:b/>
          <w:sz w:val="24"/>
          <w:szCs w:val="24"/>
        </w:rPr>
        <w:t>NERUPI March 11</w:t>
      </w:r>
      <w:r w:rsidRPr="00BC5D3D">
        <w:rPr>
          <w:rFonts w:ascii="Garamond" w:hAnsi="Garamond" w:cs="Times New Roman"/>
          <w:b/>
          <w:sz w:val="24"/>
          <w:szCs w:val="24"/>
          <w:vertAlign w:val="superscript"/>
        </w:rPr>
        <w:t>th</w:t>
      </w:r>
      <w:r>
        <w:rPr>
          <w:rFonts w:ascii="Garamond" w:hAnsi="Garamond" w:cs="Times New Roman"/>
          <w:b/>
          <w:sz w:val="24"/>
          <w:szCs w:val="24"/>
        </w:rPr>
        <w:t xml:space="preserve"> 2019, University of Bath in London:</w:t>
      </w:r>
      <w:r w:rsidRPr="00BC5D3D">
        <w:rPr>
          <w:rFonts w:ascii="Garamond" w:hAnsi="Garamond" w:cs="Times New Roman"/>
          <w:sz w:val="24"/>
          <w:szCs w:val="24"/>
        </w:rPr>
        <w:t xml:space="preserve"> </w:t>
      </w:r>
      <w:r>
        <w:rPr>
          <w:rFonts w:ascii="Garamond" w:hAnsi="Garamond" w:cs="Times New Roman"/>
          <w:sz w:val="24"/>
          <w:szCs w:val="24"/>
        </w:rPr>
        <w:t xml:space="preserve">Monica McLean: </w:t>
      </w:r>
      <w:hyperlink r:id="rId7" w:history="1">
        <w:r w:rsidRPr="00F5324D">
          <w:rPr>
            <w:rStyle w:val="Hyperlink"/>
            <w:rFonts w:ascii="Garamond" w:hAnsi="Garamond" w:cs="Times New Roman"/>
            <w:sz w:val="24"/>
            <w:szCs w:val="24"/>
          </w:rPr>
          <w:t>monica.mclean@nottingham.ac.uk</w:t>
        </w:r>
      </w:hyperlink>
    </w:p>
    <w:p w14:paraId="0827FDF0" w14:textId="446271A9" w:rsidR="00DF21E4" w:rsidRPr="00DF5E96" w:rsidRDefault="00DF21E4" w:rsidP="00DF21E4">
      <w:pPr>
        <w:rPr>
          <w:rFonts w:ascii="Garamond" w:hAnsi="Garamond" w:cs="Times New Roman"/>
          <w:b/>
          <w:sz w:val="24"/>
          <w:szCs w:val="24"/>
        </w:rPr>
      </w:pPr>
      <w:r w:rsidRPr="00DF5E96">
        <w:rPr>
          <w:rFonts w:ascii="Garamond" w:hAnsi="Garamond" w:cs="Times New Roman"/>
          <w:b/>
          <w:sz w:val="24"/>
          <w:szCs w:val="24"/>
        </w:rPr>
        <w:t>Abstract</w:t>
      </w:r>
    </w:p>
    <w:p w14:paraId="04817B08" w14:textId="77777777" w:rsidR="00DF21E4" w:rsidRPr="00DF5E96" w:rsidRDefault="00DF21E4" w:rsidP="00DF21E4">
      <w:pPr>
        <w:rPr>
          <w:rFonts w:ascii="Garamond" w:hAnsi="Garamond" w:cs="Times New Roman"/>
          <w:sz w:val="24"/>
          <w:szCs w:val="24"/>
        </w:rPr>
      </w:pPr>
      <w:r w:rsidRPr="00DF5E96">
        <w:rPr>
          <w:rFonts w:ascii="Garamond" w:hAnsi="Garamond" w:cs="Times New Roman"/>
          <w:sz w:val="24"/>
          <w:szCs w:val="24"/>
        </w:rPr>
        <w:t>Injustices of higher education which concern widening participation professionals occur in three phases: coming into higher education (access); being at university (participation); and going out of university into the rest of life (outcomes). To illustrate how the capability approach can be used for thinking about distributive inequalities in higher education, this presentation focuses on participation (post entry widening participation).  Participation in higher education is conceptualised as capability expanding, that is as expanding opportunities and freedoms for individuals to be and/or do what they value.</w:t>
      </w:r>
    </w:p>
    <w:p w14:paraId="76599F6B" w14:textId="5573FE17" w:rsidR="00DF21E4" w:rsidRPr="00DF5E96" w:rsidRDefault="00DF21E4" w:rsidP="00DF21E4">
      <w:pPr>
        <w:rPr>
          <w:rFonts w:ascii="Garamond" w:hAnsi="Garamond" w:cs="Times New Roman"/>
          <w:sz w:val="24"/>
          <w:szCs w:val="24"/>
        </w:rPr>
      </w:pPr>
      <w:r w:rsidRPr="00DF5E96">
        <w:rPr>
          <w:rFonts w:ascii="Garamond" w:hAnsi="Garamond" w:cs="Times New Roman"/>
          <w:sz w:val="24"/>
          <w:szCs w:val="24"/>
        </w:rPr>
        <w:t xml:space="preserve">The presentation begins by clarifying the core ideas and principles of </w:t>
      </w:r>
      <w:proofErr w:type="spellStart"/>
      <w:r w:rsidRPr="00DF5E96">
        <w:rPr>
          <w:rFonts w:ascii="Garamond" w:hAnsi="Garamond" w:cs="Times New Roman"/>
          <w:sz w:val="24"/>
          <w:szCs w:val="24"/>
        </w:rPr>
        <w:t>capabilitarian</w:t>
      </w:r>
      <w:proofErr w:type="spellEnd"/>
      <w:r w:rsidRPr="00DF5E96">
        <w:rPr>
          <w:rFonts w:ascii="Garamond" w:hAnsi="Garamond" w:cs="Times New Roman"/>
          <w:sz w:val="24"/>
          <w:szCs w:val="24"/>
        </w:rPr>
        <w:t xml:space="preserve"> theory, which has arisen from welfare economics and is based on interest in human development and social justice. I turn then to the comparatively small number of existing capabilities lists related to participation in higher education, showing how such lists are generated. All these lists include a capability for knowledge (often related to learning and/or imagination). So, by way of illustration, the presentation will focus on the capability for ‘epistemic contribution’ which has been identified as a universal human capability and which is being explored in a current research project on South African higher education.  I will show that students from extremely low-income and rural backgrounds, on the one hand, arrive capable of making valuable contributions and, on the other, must be offered educational arrangements which expand the capability of contributing to society’s stock of meanings.  </w:t>
      </w:r>
    </w:p>
    <w:p w14:paraId="09219C76" w14:textId="64D8A4D8" w:rsidR="00DF21E4" w:rsidRPr="00DF5E96" w:rsidRDefault="007B30AD" w:rsidP="00DF21E4">
      <w:pPr>
        <w:rPr>
          <w:rFonts w:ascii="Garamond" w:hAnsi="Garamond" w:cs="Times New Roman"/>
          <w:b/>
          <w:sz w:val="24"/>
          <w:szCs w:val="24"/>
        </w:rPr>
      </w:pPr>
      <w:r w:rsidRPr="00DF5E96">
        <w:rPr>
          <w:rFonts w:ascii="Garamond" w:hAnsi="Garamond" w:cs="Times New Roman"/>
          <w:b/>
          <w:sz w:val="24"/>
          <w:szCs w:val="24"/>
        </w:rPr>
        <w:t xml:space="preserve">Some </w:t>
      </w:r>
      <w:r w:rsidR="00AC4FCD">
        <w:rPr>
          <w:rFonts w:ascii="Garamond" w:hAnsi="Garamond" w:cs="Times New Roman"/>
          <w:b/>
          <w:sz w:val="24"/>
          <w:szCs w:val="24"/>
        </w:rPr>
        <w:t>C</w:t>
      </w:r>
      <w:r w:rsidR="00DF21E4" w:rsidRPr="00DF5E96">
        <w:rPr>
          <w:rFonts w:ascii="Garamond" w:hAnsi="Garamond" w:cs="Times New Roman"/>
          <w:b/>
          <w:sz w:val="24"/>
          <w:szCs w:val="24"/>
        </w:rPr>
        <w:t>ore</w:t>
      </w:r>
      <w:r w:rsidR="00932DF2" w:rsidRPr="00DF5E96">
        <w:rPr>
          <w:rFonts w:ascii="Garamond" w:hAnsi="Garamond" w:cs="Times New Roman"/>
          <w:b/>
          <w:sz w:val="24"/>
          <w:szCs w:val="24"/>
        </w:rPr>
        <w:t xml:space="preserve"> </w:t>
      </w:r>
      <w:r w:rsidR="00AC4FCD">
        <w:rPr>
          <w:rFonts w:ascii="Garamond" w:hAnsi="Garamond" w:cs="Times New Roman"/>
          <w:b/>
          <w:sz w:val="24"/>
          <w:szCs w:val="24"/>
        </w:rPr>
        <w:t>T</w:t>
      </w:r>
      <w:r w:rsidR="00932DF2" w:rsidRPr="00DF5E96">
        <w:rPr>
          <w:rFonts w:ascii="Garamond" w:hAnsi="Garamond" w:cs="Times New Roman"/>
          <w:b/>
          <w:sz w:val="24"/>
          <w:szCs w:val="24"/>
        </w:rPr>
        <w:t>erms and</w:t>
      </w:r>
      <w:r w:rsidR="00DF21E4" w:rsidRPr="00DF5E96">
        <w:rPr>
          <w:rFonts w:ascii="Garamond" w:hAnsi="Garamond" w:cs="Times New Roman"/>
          <w:b/>
          <w:sz w:val="24"/>
          <w:szCs w:val="24"/>
        </w:rPr>
        <w:t xml:space="preserve"> </w:t>
      </w:r>
      <w:r w:rsidR="00AC4FCD">
        <w:rPr>
          <w:rFonts w:ascii="Garamond" w:hAnsi="Garamond" w:cs="Times New Roman"/>
          <w:b/>
          <w:sz w:val="24"/>
          <w:szCs w:val="24"/>
        </w:rPr>
        <w:t>I</w:t>
      </w:r>
      <w:r w:rsidR="00DF21E4" w:rsidRPr="00DF5E96">
        <w:rPr>
          <w:rFonts w:ascii="Garamond" w:hAnsi="Garamond" w:cs="Times New Roman"/>
          <w:b/>
          <w:sz w:val="24"/>
          <w:szCs w:val="24"/>
        </w:rPr>
        <w:t>deas</w:t>
      </w:r>
    </w:p>
    <w:p w14:paraId="323980C1" w14:textId="1BDF445A" w:rsidR="00DF21E4" w:rsidRPr="00DF5E96" w:rsidRDefault="00A53C6F" w:rsidP="00BE1C41">
      <w:pPr>
        <w:pStyle w:val="ListParagraph"/>
        <w:numPr>
          <w:ilvl w:val="0"/>
          <w:numId w:val="1"/>
        </w:numPr>
        <w:rPr>
          <w:rFonts w:ascii="Garamond" w:hAnsi="Garamond" w:cs="Times New Roman"/>
          <w:sz w:val="24"/>
          <w:szCs w:val="24"/>
        </w:rPr>
      </w:pPr>
      <w:r w:rsidRPr="00DF5E96">
        <w:rPr>
          <w:rFonts w:ascii="Garamond" w:hAnsi="Garamond" w:cs="Times New Roman"/>
          <w:sz w:val="24"/>
          <w:szCs w:val="24"/>
        </w:rPr>
        <w:t>Poverty or d</w:t>
      </w:r>
      <w:r w:rsidR="00DF21E4" w:rsidRPr="00DF5E96">
        <w:rPr>
          <w:rFonts w:ascii="Garamond" w:hAnsi="Garamond" w:cs="Times New Roman"/>
          <w:sz w:val="24"/>
          <w:szCs w:val="24"/>
        </w:rPr>
        <w:t>eprivation</w:t>
      </w:r>
      <w:r w:rsidR="00E92992" w:rsidRPr="00DF5E96">
        <w:rPr>
          <w:rFonts w:ascii="Garamond" w:hAnsi="Garamond" w:cs="Times New Roman"/>
          <w:sz w:val="24"/>
          <w:szCs w:val="24"/>
        </w:rPr>
        <w:t xml:space="preserve"> </w:t>
      </w:r>
      <w:r w:rsidRPr="00DF5E96">
        <w:rPr>
          <w:rFonts w:ascii="Garamond" w:hAnsi="Garamond" w:cs="Times New Roman"/>
          <w:sz w:val="24"/>
          <w:szCs w:val="24"/>
        </w:rPr>
        <w:t>are</w:t>
      </w:r>
      <w:r w:rsidR="00E92992" w:rsidRPr="00DF5E96">
        <w:rPr>
          <w:rFonts w:ascii="Garamond" w:hAnsi="Garamond" w:cs="Times New Roman"/>
          <w:sz w:val="24"/>
          <w:szCs w:val="24"/>
        </w:rPr>
        <w:t xml:space="preserve"> defined as</w:t>
      </w:r>
      <w:r w:rsidR="00DF21E4" w:rsidRPr="00DF5E96">
        <w:rPr>
          <w:rFonts w:ascii="Garamond" w:hAnsi="Garamond" w:cs="Times New Roman"/>
          <w:sz w:val="24"/>
          <w:szCs w:val="24"/>
        </w:rPr>
        <w:t xml:space="preserve"> the contraction of freedoms and opportunities to live a flourishing and valued life</w:t>
      </w:r>
      <w:r w:rsidR="00BE1C41" w:rsidRPr="00DF5E96">
        <w:rPr>
          <w:rFonts w:ascii="Garamond" w:hAnsi="Garamond" w:cs="Times New Roman"/>
          <w:sz w:val="24"/>
          <w:szCs w:val="24"/>
        </w:rPr>
        <w:t>.</w:t>
      </w:r>
    </w:p>
    <w:p w14:paraId="5902362D" w14:textId="3555C0FA" w:rsidR="00AC0573" w:rsidRPr="00DF5E96" w:rsidRDefault="00AC0573" w:rsidP="00BE1C41">
      <w:pPr>
        <w:pStyle w:val="ListParagraph"/>
        <w:numPr>
          <w:ilvl w:val="0"/>
          <w:numId w:val="1"/>
        </w:numPr>
        <w:rPr>
          <w:rFonts w:ascii="Garamond" w:hAnsi="Garamond" w:cs="Times New Roman"/>
          <w:sz w:val="24"/>
          <w:szCs w:val="24"/>
        </w:rPr>
      </w:pPr>
      <w:r w:rsidRPr="00DF5E96">
        <w:rPr>
          <w:rFonts w:ascii="Garamond" w:hAnsi="Garamond" w:cs="Times New Roman"/>
          <w:sz w:val="24"/>
          <w:szCs w:val="24"/>
        </w:rPr>
        <w:t>Wellbeing: expansion of freedoms and opportunities to live a flourishing and valued life.</w:t>
      </w:r>
    </w:p>
    <w:p w14:paraId="40BB285B" w14:textId="6FF4CE80" w:rsidR="00BE1C41" w:rsidRPr="00DF5E96" w:rsidRDefault="00F05189" w:rsidP="00BE1C41">
      <w:pPr>
        <w:pStyle w:val="ListParagraph"/>
        <w:numPr>
          <w:ilvl w:val="0"/>
          <w:numId w:val="1"/>
        </w:numPr>
        <w:rPr>
          <w:rFonts w:ascii="Garamond" w:hAnsi="Garamond" w:cs="Times New Roman"/>
          <w:sz w:val="24"/>
          <w:szCs w:val="24"/>
        </w:rPr>
      </w:pPr>
      <w:r w:rsidRPr="00DF5E96">
        <w:rPr>
          <w:rFonts w:ascii="Garamond" w:hAnsi="Garamond" w:cs="Times New Roman"/>
          <w:sz w:val="24"/>
          <w:szCs w:val="24"/>
        </w:rPr>
        <w:t xml:space="preserve"> </w:t>
      </w:r>
      <w:r w:rsidR="00640998" w:rsidRPr="00DF5E96">
        <w:rPr>
          <w:rFonts w:ascii="Garamond" w:hAnsi="Garamond" w:cs="Times New Roman"/>
          <w:sz w:val="24"/>
          <w:szCs w:val="24"/>
        </w:rPr>
        <w:t>‘</w:t>
      </w:r>
      <w:r w:rsidR="00BE1C41" w:rsidRPr="00DF5E96">
        <w:rPr>
          <w:rFonts w:ascii="Garamond" w:hAnsi="Garamond" w:cs="Times New Roman"/>
          <w:sz w:val="24"/>
          <w:szCs w:val="24"/>
        </w:rPr>
        <w:t>Capabilities</w:t>
      </w:r>
      <w:r w:rsidR="0077446E" w:rsidRPr="00DF5E96">
        <w:rPr>
          <w:rFonts w:ascii="Garamond" w:hAnsi="Garamond" w:cs="Times New Roman"/>
          <w:sz w:val="24"/>
          <w:szCs w:val="24"/>
        </w:rPr>
        <w:t>’</w:t>
      </w:r>
      <w:r w:rsidR="00932DF2" w:rsidRPr="00DF5E96">
        <w:rPr>
          <w:rFonts w:ascii="Garamond" w:hAnsi="Garamond" w:cs="Times New Roman"/>
          <w:sz w:val="24"/>
          <w:szCs w:val="24"/>
        </w:rPr>
        <w:t xml:space="preserve">: </w:t>
      </w:r>
      <w:r w:rsidR="00BE1C41" w:rsidRPr="00DF5E96">
        <w:rPr>
          <w:rFonts w:ascii="Garamond" w:hAnsi="Garamond" w:cs="Times New Roman"/>
          <w:sz w:val="24"/>
          <w:szCs w:val="24"/>
        </w:rPr>
        <w:t xml:space="preserve"> the freedoms and opportunities</w:t>
      </w:r>
      <w:r w:rsidR="00AC0573" w:rsidRPr="00DF5E96">
        <w:rPr>
          <w:rFonts w:ascii="Garamond" w:hAnsi="Garamond" w:cs="Times New Roman"/>
          <w:sz w:val="24"/>
          <w:szCs w:val="24"/>
        </w:rPr>
        <w:t xml:space="preserve"> that allow</w:t>
      </w:r>
      <w:r w:rsidR="00BE1C41" w:rsidRPr="00DF5E96">
        <w:rPr>
          <w:rFonts w:ascii="Garamond" w:hAnsi="Garamond" w:cs="Times New Roman"/>
          <w:sz w:val="24"/>
          <w:szCs w:val="24"/>
        </w:rPr>
        <w:t xml:space="preserve"> an individual to choose who s/he wants to be and do.</w:t>
      </w:r>
    </w:p>
    <w:p w14:paraId="08F24177" w14:textId="29DF1611" w:rsidR="00BE1C41" w:rsidRPr="00DF5E96" w:rsidRDefault="0077446E" w:rsidP="00BE1C41">
      <w:pPr>
        <w:pStyle w:val="ListParagraph"/>
        <w:numPr>
          <w:ilvl w:val="0"/>
          <w:numId w:val="1"/>
        </w:numPr>
        <w:rPr>
          <w:rFonts w:ascii="Garamond" w:hAnsi="Garamond" w:cs="Times New Roman"/>
          <w:sz w:val="24"/>
          <w:szCs w:val="24"/>
        </w:rPr>
      </w:pPr>
      <w:r w:rsidRPr="00DF5E96">
        <w:rPr>
          <w:rFonts w:ascii="Garamond" w:hAnsi="Garamond" w:cs="Times New Roman"/>
          <w:sz w:val="24"/>
          <w:szCs w:val="24"/>
        </w:rPr>
        <w:t>‘</w:t>
      </w:r>
      <w:proofErr w:type="spellStart"/>
      <w:r w:rsidR="00BE1C41" w:rsidRPr="00DF5E96">
        <w:rPr>
          <w:rFonts w:ascii="Garamond" w:hAnsi="Garamond" w:cs="Times New Roman"/>
          <w:sz w:val="24"/>
          <w:szCs w:val="24"/>
        </w:rPr>
        <w:t>Functionings</w:t>
      </w:r>
      <w:proofErr w:type="spellEnd"/>
      <w:r w:rsidRPr="00DF5E96">
        <w:rPr>
          <w:rFonts w:ascii="Garamond" w:hAnsi="Garamond" w:cs="Times New Roman"/>
          <w:sz w:val="24"/>
          <w:szCs w:val="24"/>
        </w:rPr>
        <w:t>’</w:t>
      </w:r>
      <w:r w:rsidR="00932DF2" w:rsidRPr="00DF5E96">
        <w:rPr>
          <w:rFonts w:ascii="Garamond" w:hAnsi="Garamond" w:cs="Times New Roman"/>
          <w:sz w:val="24"/>
          <w:szCs w:val="24"/>
        </w:rPr>
        <w:t>: actual beings and doings (or achievements)</w:t>
      </w:r>
    </w:p>
    <w:p w14:paraId="67C7FBC0" w14:textId="77777777" w:rsidR="00F05189" w:rsidRPr="00DF5E96" w:rsidRDefault="00932DF2" w:rsidP="00F05189">
      <w:pPr>
        <w:pStyle w:val="ListParagraph"/>
        <w:numPr>
          <w:ilvl w:val="0"/>
          <w:numId w:val="1"/>
        </w:numPr>
        <w:rPr>
          <w:rFonts w:ascii="Garamond" w:hAnsi="Garamond" w:cs="Times New Roman"/>
          <w:sz w:val="24"/>
          <w:szCs w:val="24"/>
        </w:rPr>
      </w:pPr>
      <w:r w:rsidRPr="00DF5E96">
        <w:rPr>
          <w:rFonts w:ascii="Garamond" w:hAnsi="Garamond" w:cs="Times New Roman"/>
          <w:sz w:val="24"/>
          <w:szCs w:val="24"/>
        </w:rPr>
        <w:t>‘Conversion factors’</w:t>
      </w:r>
      <w:r w:rsidR="00AC0573" w:rsidRPr="00DF5E96">
        <w:rPr>
          <w:rFonts w:ascii="Garamond" w:hAnsi="Garamond" w:cs="Times New Roman"/>
          <w:sz w:val="24"/>
          <w:szCs w:val="24"/>
        </w:rPr>
        <w:t xml:space="preserve">: </w:t>
      </w:r>
      <w:r w:rsidR="00F05189" w:rsidRPr="00DF5E96">
        <w:rPr>
          <w:rFonts w:ascii="Garamond" w:hAnsi="Garamond" w:cs="Times New Roman"/>
          <w:sz w:val="24"/>
          <w:szCs w:val="24"/>
        </w:rPr>
        <w:t xml:space="preserve">e.g. </w:t>
      </w:r>
      <w:r w:rsidR="00FD5159" w:rsidRPr="00DF5E96">
        <w:rPr>
          <w:rFonts w:ascii="Garamond" w:hAnsi="Garamond" w:cs="Times New Roman"/>
          <w:sz w:val="24"/>
          <w:szCs w:val="24"/>
        </w:rPr>
        <w:t>Social, personal, ge</w:t>
      </w:r>
      <w:r w:rsidR="00F05189" w:rsidRPr="00DF5E96">
        <w:rPr>
          <w:rFonts w:ascii="Garamond" w:hAnsi="Garamond" w:cs="Times New Roman"/>
          <w:sz w:val="24"/>
          <w:szCs w:val="24"/>
        </w:rPr>
        <w:t>og</w:t>
      </w:r>
      <w:r w:rsidR="00FD5159" w:rsidRPr="00DF5E96">
        <w:rPr>
          <w:rFonts w:ascii="Garamond" w:hAnsi="Garamond" w:cs="Times New Roman"/>
          <w:sz w:val="24"/>
          <w:szCs w:val="24"/>
        </w:rPr>
        <w:t>raphical</w:t>
      </w:r>
      <w:r w:rsidR="00F05189" w:rsidRPr="00DF5E96">
        <w:rPr>
          <w:rFonts w:ascii="Garamond" w:hAnsi="Garamond" w:cs="Times New Roman"/>
          <w:sz w:val="24"/>
          <w:szCs w:val="24"/>
        </w:rPr>
        <w:t xml:space="preserve">. Social/educational arrangements </w:t>
      </w:r>
    </w:p>
    <w:p w14:paraId="1DA2F86B" w14:textId="169A1A4A" w:rsidR="00F05189" w:rsidRPr="00DF5E96" w:rsidRDefault="00F05189" w:rsidP="00F05189">
      <w:pPr>
        <w:pStyle w:val="ListParagraph"/>
        <w:numPr>
          <w:ilvl w:val="0"/>
          <w:numId w:val="1"/>
        </w:numPr>
        <w:rPr>
          <w:rFonts w:ascii="Garamond" w:hAnsi="Garamond" w:cs="Times New Roman"/>
          <w:sz w:val="24"/>
          <w:szCs w:val="24"/>
        </w:rPr>
      </w:pPr>
      <w:r w:rsidRPr="00DF5E96">
        <w:rPr>
          <w:rFonts w:ascii="Garamond" w:hAnsi="Garamond" w:cs="Times New Roman"/>
          <w:sz w:val="24"/>
          <w:szCs w:val="24"/>
        </w:rPr>
        <w:t xml:space="preserve">Policies and practices </w:t>
      </w:r>
      <w:r w:rsidR="00E92992" w:rsidRPr="00DF5E96">
        <w:rPr>
          <w:rFonts w:ascii="Garamond" w:hAnsi="Garamond" w:cs="Times New Roman"/>
          <w:sz w:val="24"/>
          <w:szCs w:val="24"/>
        </w:rPr>
        <w:t>are</w:t>
      </w:r>
      <w:r w:rsidRPr="00DF5E96">
        <w:rPr>
          <w:rFonts w:ascii="Garamond" w:hAnsi="Garamond" w:cs="Times New Roman"/>
          <w:sz w:val="24"/>
          <w:szCs w:val="24"/>
        </w:rPr>
        <w:t xml:space="preserve"> preconditions</w:t>
      </w:r>
      <w:r w:rsidR="00E92992" w:rsidRPr="00DF5E96">
        <w:rPr>
          <w:rFonts w:ascii="Garamond" w:hAnsi="Garamond" w:cs="Times New Roman"/>
          <w:sz w:val="24"/>
          <w:szCs w:val="24"/>
        </w:rPr>
        <w:t xml:space="preserve"> </w:t>
      </w:r>
      <w:r w:rsidR="00A53C6F" w:rsidRPr="00DF5E96">
        <w:rPr>
          <w:rFonts w:ascii="Garamond" w:hAnsi="Garamond" w:cs="Times New Roman"/>
          <w:sz w:val="24"/>
          <w:szCs w:val="24"/>
        </w:rPr>
        <w:t>(</w:t>
      </w:r>
      <w:r w:rsidRPr="00DF5E96">
        <w:rPr>
          <w:rFonts w:ascii="Garamond" w:hAnsi="Garamond" w:cs="Times New Roman"/>
          <w:sz w:val="24"/>
          <w:szCs w:val="24"/>
        </w:rPr>
        <w:t>means</w:t>
      </w:r>
      <w:r w:rsidR="00A53C6F" w:rsidRPr="00DF5E96">
        <w:rPr>
          <w:rFonts w:ascii="Garamond" w:hAnsi="Garamond" w:cs="Times New Roman"/>
          <w:sz w:val="24"/>
          <w:szCs w:val="24"/>
        </w:rPr>
        <w:t>)</w:t>
      </w:r>
      <w:r w:rsidRPr="00DF5E96">
        <w:rPr>
          <w:rFonts w:ascii="Garamond" w:hAnsi="Garamond" w:cs="Times New Roman"/>
          <w:sz w:val="24"/>
          <w:szCs w:val="24"/>
        </w:rPr>
        <w:t xml:space="preserve"> for capability expansion and so are evaluated according to whether they expand or constrain capabilities and </w:t>
      </w:r>
      <w:proofErr w:type="spellStart"/>
      <w:r w:rsidRPr="00DF5E96">
        <w:rPr>
          <w:rFonts w:ascii="Garamond" w:hAnsi="Garamond" w:cs="Times New Roman"/>
          <w:sz w:val="24"/>
          <w:szCs w:val="24"/>
        </w:rPr>
        <w:t>functionings</w:t>
      </w:r>
      <w:proofErr w:type="spellEnd"/>
      <w:r w:rsidR="00A53C6F" w:rsidRPr="00DF5E96">
        <w:rPr>
          <w:rFonts w:ascii="Garamond" w:hAnsi="Garamond" w:cs="Times New Roman"/>
          <w:sz w:val="24"/>
          <w:szCs w:val="24"/>
        </w:rPr>
        <w:t xml:space="preserve"> (ends)</w:t>
      </w:r>
      <w:r w:rsidRPr="00DF5E96">
        <w:rPr>
          <w:rFonts w:ascii="Garamond" w:hAnsi="Garamond" w:cs="Times New Roman"/>
          <w:sz w:val="24"/>
          <w:szCs w:val="24"/>
        </w:rPr>
        <w:t>.</w:t>
      </w:r>
    </w:p>
    <w:p w14:paraId="4A281307" w14:textId="7A082BA0" w:rsidR="00423233" w:rsidRPr="00F821CC" w:rsidRDefault="00F74B19" w:rsidP="006A017A">
      <w:pPr>
        <w:pStyle w:val="ListParagraph"/>
        <w:numPr>
          <w:ilvl w:val="0"/>
          <w:numId w:val="1"/>
        </w:numPr>
        <w:rPr>
          <w:rFonts w:ascii="Garamond" w:hAnsi="Garamond" w:cs="Times New Roman"/>
          <w:b/>
          <w:sz w:val="24"/>
          <w:szCs w:val="24"/>
        </w:rPr>
      </w:pPr>
      <w:r w:rsidRPr="00F821CC">
        <w:rPr>
          <w:rFonts w:ascii="Garamond" w:hAnsi="Garamond" w:cs="Times New Roman"/>
          <w:sz w:val="24"/>
          <w:szCs w:val="24"/>
        </w:rPr>
        <w:t xml:space="preserve">The principle that the interests of every person </w:t>
      </w:r>
      <w:r w:rsidR="00086758" w:rsidRPr="00F821CC">
        <w:rPr>
          <w:rFonts w:ascii="Garamond" w:hAnsi="Garamond" w:cs="Times New Roman"/>
          <w:sz w:val="24"/>
          <w:szCs w:val="24"/>
        </w:rPr>
        <w:t>should be</w:t>
      </w:r>
      <w:r w:rsidRPr="00F821CC">
        <w:rPr>
          <w:rFonts w:ascii="Garamond" w:hAnsi="Garamond" w:cs="Times New Roman"/>
          <w:sz w:val="24"/>
          <w:szCs w:val="24"/>
        </w:rPr>
        <w:t xml:space="preserve"> served or protected.</w:t>
      </w:r>
    </w:p>
    <w:p w14:paraId="4B3F8FF0" w14:textId="77777777" w:rsidR="00BC5D3D" w:rsidRDefault="00BC5D3D" w:rsidP="007B30AD">
      <w:pPr>
        <w:rPr>
          <w:rFonts w:ascii="Garamond" w:hAnsi="Garamond" w:cs="Times New Roman"/>
          <w:b/>
          <w:sz w:val="24"/>
          <w:szCs w:val="24"/>
        </w:rPr>
      </w:pPr>
    </w:p>
    <w:p w14:paraId="6E4FA672" w14:textId="77777777" w:rsidR="00BC5D3D" w:rsidRDefault="00BC5D3D" w:rsidP="007B30AD">
      <w:pPr>
        <w:rPr>
          <w:rFonts w:ascii="Garamond" w:hAnsi="Garamond" w:cs="Times New Roman"/>
          <w:b/>
          <w:sz w:val="24"/>
          <w:szCs w:val="24"/>
        </w:rPr>
      </w:pPr>
    </w:p>
    <w:p w14:paraId="4E41AA3A" w14:textId="6081CAD8" w:rsidR="007B30AD" w:rsidRPr="00DF5E96" w:rsidRDefault="00CF5256" w:rsidP="007B30AD">
      <w:pPr>
        <w:rPr>
          <w:rFonts w:ascii="Garamond" w:hAnsi="Garamond" w:cs="Times New Roman"/>
          <w:b/>
          <w:sz w:val="24"/>
          <w:szCs w:val="24"/>
        </w:rPr>
      </w:pPr>
      <w:r w:rsidRPr="00DF5E96">
        <w:rPr>
          <w:rFonts w:ascii="Garamond" w:hAnsi="Garamond" w:cs="Times New Roman"/>
          <w:b/>
          <w:sz w:val="24"/>
          <w:szCs w:val="24"/>
        </w:rPr>
        <w:lastRenderedPageBreak/>
        <w:t>Capability Lists</w:t>
      </w:r>
      <w:r w:rsidR="00EE5B80" w:rsidRPr="00DF5E96">
        <w:rPr>
          <w:rFonts w:ascii="Garamond" w:hAnsi="Garamond" w:cs="Times New Roman"/>
          <w:b/>
          <w:sz w:val="24"/>
          <w:szCs w:val="24"/>
        </w:rPr>
        <w:t>/Sets</w:t>
      </w:r>
    </w:p>
    <w:p w14:paraId="4C430E89" w14:textId="52061C1F" w:rsidR="00CF5256" w:rsidRPr="00DF5E96" w:rsidRDefault="00CF5256" w:rsidP="007B30AD">
      <w:pPr>
        <w:rPr>
          <w:rFonts w:ascii="Garamond" w:hAnsi="Garamond" w:cs="Times New Roman"/>
          <w:sz w:val="24"/>
          <w:szCs w:val="24"/>
        </w:rPr>
      </w:pPr>
      <w:r w:rsidRPr="00DF5E96">
        <w:rPr>
          <w:rFonts w:ascii="Garamond" w:hAnsi="Garamond" w:cs="Times New Roman"/>
          <w:b/>
          <w:i/>
          <w:sz w:val="24"/>
          <w:szCs w:val="24"/>
        </w:rPr>
        <w:t xml:space="preserve">Martha Nusbaum’s </w:t>
      </w:r>
      <w:r w:rsidR="00086758" w:rsidRPr="00DF5E96">
        <w:rPr>
          <w:rFonts w:ascii="Garamond" w:hAnsi="Garamond" w:cs="Times New Roman"/>
          <w:b/>
          <w:i/>
          <w:sz w:val="24"/>
          <w:szCs w:val="24"/>
        </w:rPr>
        <w:t xml:space="preserve">list of 10 universal, comprehensive human capabilities’: </w:t>
      </w:r>
      <w:r w:rsidR="00086758" w:rsidRPr="00DF5E96">
        <w:rPr>
          <w:rFonts w:ascii="Garamond" w:hAnsi="Garamond" w:cs="Times New Roman"/>
          <w:sz w:val="24"/>
          <w:szCs w:val="24"/>
        </w:rPr>
        <w:t>life; bodily health; senses, imagination and thought; emotions; practical reason; affiliation; other species; play; control over one’s environment.</w:t>
      </w:r>
    </w:p>
    <w:p w14:paraId="796BCE94" w14:textId="14ABF243" w:rsidR="00DF5E96" w:rsidRDefault="00EE5B80" w:rsidP="007B30AD">
      <w:pPr>
        <w:rPr>
          <w:rFonts w:ascii="Garamond" w:hAnsi="Garamond" w:cs="Times New Roman"/>
          <w:b/>
          <w:i/>
          <w:sz w:val="24"/>
          <w:szCs w:val="24"/>
        </w:rPr>
      </w:pPr>
      <w:r w:rsidRPr="00DF5E96">
        <w:rPr>
          <w:rFonts w:ascii="Garamond" w:hAnsi="Garamond" w:cs="Times New Roman"/>
          <w:b/>
          <w:i/>
          <w:sz w:val="24"/>
          <w:szCs w:val="24"/>
        </w:rPr>
        <w:t>Participation in Higher Education Lists/Sets</w:t>
      </w:r>
    </w:p>
    <w:tbl>
      <w:tblPr>
        <w:tblStyle w:val="TableGrid"/>
        <w:tblW w:w="0" w:type="auto"/>
        <w:tblLook w:val="04A0" w:firstRow="1" w:lastRow="0" w:firstColumn="1" w:lastColumn="0" w:noHBand="0" w:noVBand="1"/>
      </w:tblPr>
      <w:tblGrid>
        <w:gridCol w:w="3487"/>
        <w:gridCol w:w="3487"/>
        <w:gridCol w:w="3487"/>
        <w:gridCol w:w="3487"/>
      </w:tblGrid>
      <w:tr w:rsidR="00DF5E96" w14:paraId="150BFECF" w14:textId="77777777" w:rsidTr="00DF5E96">
        <w:tc>
          <w:tcPr>
            <w:tcW w:w="3487" w:type="dxa"/>
          </w:tcPr>
          <w:p w14:paraId="3DAFDB7F" w14:textId="3EDBEA4A" w:rsidR="00DF5E96" w:rsidRDefault="00DF5E96" w:rsidP="007B30AD">
            <w:pPr>
              <w:rPr>
                <w:rFonts w:ascii="Garamond" w:hAnsi="Garamond" w:cs="Times New Roman"/>
                <w:b/>
                <w:sz w:val="24"/>
                <w:szCs w:val="24"/>
              </w:rPr>
            </w:pPr>
            <w:r w:rsidRPr="00DF5E96">
              <w:rPr>
                <w:rFonts w:ascii="Garamond" w:hAnsi="Garamond" w:cs="Times New Roman"/>
                <w:b/>
                <w:sz w:val="24"/>
                <w:szCs w:val="24"/>
              </w:rPr>
              <w:t>Walker (2006)</w:t>
            </w:r>
          </w:p>
        </w:tc>
        <w:tc>
          <w:tcPr>
            <w:tcW w:w="3487" w:type="dxa"/>
          </w:tcPr>
          <w:p w14:paraId="1E845E9F" w14:textId="4C8986C6" w:rsidR="00DF5E96" w:rsidRDefault="00DF5E96" w:rsidP="007B30AD">
            <w:pPr>
              <w:rPr>
                <w:rFonts w:ascii="Garamond" w:hAnsi="Garamond" w:cs="Times New Roman"/>
                <w:b/>
                <w:sz w:val="24"/>
                <w:szCs w:val="24"/>
              </w:rPr>
            </w:pPr>
            <w:r w:rsidRPr="00DF5E96">
              <w:rPr>
                <w:rFonts w:ascii="Garamond" w:hAnsi="Garamond" w:cs="Times New Roman"/>
                <w:b/>
                <w:sz w:val="24"/>
                <w:szCs w:val="24"/>
              </w:rPr>
              <w:t>Wilson-Strydom (2015)</w:t>
            </w:r>
          </w:p>
        </w:tc>
        <w:tc>
          <w:tcPr>
            <w:tcW w:w="3487" w:type="dxa"/>
          </w:tcPr>
          <w:p w14:paraId="572EB82D" w14:textId="2B26E285" w:rsidR="00DF5E96" w:rsidRDefault="00DF5E96" w:rsidP="007B30AD">
            <w:pPr>
              <w:rPr>
                <w:rFonts w:ascii="Garamond" w:hAnsi="Garamond" w:cs="Times New Roman"/>
                <w:b/>
                <w:sz w:val="24"/>
                <w:szCs w:val="24"/>
              </w:rPr>
            </w:pPr>
            <w:r w:rsidRPr="00DF5E96">
              <w:rPr>
                <w:rFonts w:ascii="Garamond" w:hAnsi="Garamond" w:cs="Times New Roman"/>
                <w:b/>
                <w:sz w:val="24"/>
                <w:szCs w:val="24"/>
              </w:rPr>
              <w:t>Review of higher education research</w:t>
            </w:r>
            <w:r w:rsidR="00BC5D3D">
              <w:rPr>
                <w:rFonts w:ascii="Garamond" w:hAnsi="Garamond" w:cs="Times New Roman"/>
                <w:b/>
                <w:sz w:val="24"/>
                <w:szCs w:val="24"/>
              </w:rPr>
              <w:t>, McLean</w:t>
            </w:r>
            <w:r w:rsidRPr="00DF5E96">
              <w:rPr>
                <w:rFonts w:ascii="Garamond" w:hAnsi="Garamond" w:cs="Times New Roman"/>
                <w:b/>
                <w:sz w:val="24"/>
                <w:szCs w:val="24"/>
              </w:rPr>
              <w:t xml:space="preserve"> (2018)</w:t>
            </w:r>
          </w:p>
        </w:tc>
        <w:tc>
          <w:tcPr>
            <w:tcW w:w="3487" w:type="dxa"/>
          </w:tcPr>
          <w:p w14:paraId="365C7BF4" w14:textId="14A6CC9C" w:rsidR="00DF5E96" w:rsidRDefault="00DF5E96" w:rsidP="007B30AD">
            <w:pPr>
              <w:rPr>
                <w:rFonts w:ascii="Garamond" w:hAnsi="Garamond" w:cs="Times New Roman"/>
                <w:b/>
                <w:sz w:val="24"/>
                <w:szCs w:val="24"/>
              </w:rPr>
            </w:pPr>
            <w:r w:rsidRPr="00DF5E96">
              <w:rPr>
                <w:rFonts w:ascii="Garamond" w:hAnsi="Garamond" w:cs="Times New Roman"/>
                <w:b/>
                <w:sz w:val="24"/>
                <w:szCs w:val="24"/>
              </w:rPr>
              <w:t>MIRATHO (provisional in 2019)</w:t>
            </w:r>
          </w:p>
        </w:tc>
      </w:tr>
      <w:tr w:rsidR="00DF5E96" w14:paraId="1AAAD52F" w14:textId="77777777" w:rsidTr="00DF5E96">
        <w:tc>
          <w:tcPr>
            <w:tcW w:w="3487" w:type="dxa"/>
          </w:tcPr>
          <w:p w14:paraId="083B0366" w14:textId="4B96D997" w:rsidR="00DF5E96" w:rsidRDefault="00DF5E96" w:rsidP="00DF5E96">
            <w:pPr>
              <w:rPr>
                <w:rFonts w:ascii="Garamond" w:hAnsi="Garamond" w:cs="Times New Roman"/>
                <w:b/>
                <w:sz w:val="24"/>
                <w:szCs w:val="24"/>
              </w:rPr>
            </w:pPr>
            <w:r w:rsidRPr="00DF5E96">
              <w:rPr>
                <w:rFonts w:ascii="Garamond" w:hAnsi="Garamond" w:cs="Times New Roman"/>
                <w:sz w:val="24"/>
                <w:szCs w:val="24"/>
              </w:rPr>
              <w:t>Knowledge and imagination</w:t>
            </w:r>
          </w:p>
        </w:tc>
        <w:tc>
          <w:tcPr>
            <w:tcW w:w="3487" w:type="dxa"/>
          </w:tcPr>
          <w:p w14:paraId="5AFE1C5F" w14:textId="5DFB8EFB" w:rsidR="00DF5E96" w:rsidRDefault="00DF5E96" w:rsidP="00DF5E96">
            <w:pPr>
              <w:rPr>
                <w:rFonts w:ascii="Garamond" w:hAnsi="Garamond" w:cs="Times New Roman"/>
                <w:b/>
                <w:sz w:val="24"/>
                <w:szCs w:val="24"/>
              </w:rPr>
            </w:pPr>
            <w:r w:rsidRPr="00DF5E96">
              <w:rPr>
                <w:rFonts w:ascii="Garamond" w:hAnsi="Garamond" w:cs="Times New Roman"/>
                <w:sz w:val="24"/>
                <w:szCs w:val="24"/>
              </w:rPr>
              <w:t>Knowledge and imagination</w:t>
            </w:r>
          </w:p>
        </w:tc>
        <w:tc>
          <w:tcPr>
            <w:tcW w:w="3487" w:type="dxa"/>
          </w:tcPr>
          <w:p w14:paraId="61934AD1" w14:textId="192B1304" w:rsidR="00DF5E96" w:rsidRDefault="00DF5E96" w:rsidP="00DF5E96">
            <w:pPr>
              <w:rPr>
                <w:rFonts w:ascii="Garamond" w:hAnsi="Garamond" w:cs="Times New Roman"/>
                <w:b/>
                <w:sz w:val="24"/>
                <w:szCs w:val="24"/>
              </w:rPr>
            </w:pPr>
            <w:r w:rsidRPr="00DF5E96">
              <w:rPr>
                <w:rFonts w:ascii="Garamond" w:hAnsi="Garamond" w:cs="Times New Roman"/>
                <w:sz w:val="24"/>
                <w:szCs w:val="24"/>
              </w:rPr>
              <w:t>Knowledge</w:t>
            </w:r>
            <w:r>
              <w:rPr>
                <w:rFonts w:ascii="Garamond" w:hAnsi="Garamond" w:cs="Times New Roman"/>
                <w:sz w:val="24"/>
                <w:szCs w:val="24"/>
              </w:rPr>
              <w:t xml:space="preserve"> of the field</w:t>
            </w:r>
          </w:p>
        </w:tc>
        <w:tc>
          <w:tcPr>
            <w:tcW w:w="3487" w:type="dxa"/>
          </w:tcPr>
          <w:p w14:paraId="6AAA19C0" w14:textId="309D0458" w:rsidR="00DF5E96" w:rsidRPr="00DF5E96" w:rsidRDefault="00DF5E96" w:rsidP="00DF5E96">
            <w:pPr>
              <w:rPr>
                <w:rFonts w:ascii="Garamond" w:hAnsi="Garamond" w:cs="Times New Roman"/>
                <w:sz w:val="24"/>
                <w:szCs w:val="24"/>
              </w:rPr>
            </w:pPr>
            <w:r>
              <w:rPr>
                <w:rFonts w:ascii="Garamond" w:hAnsi="Garamond" w:cs="Times New Roman"/>
                <w:sz w:val="24"/>
                <w:szCs w:val="24"/>
              </w:rPr>
              <w:t>Epistemic contribution</w:t>
            </w:r>
          </w:p>
        </w:tc>
      </w:tr>
      <w:tr w:rsidR="00DF5E96" w14:paraId="5E92B38F" w14:textId="77777777" w:rsidTr="00DF5E96">
        <w:tc>
          <w:tcPr>
            <w:tcW w:w="3487" w:type="dxa"/>
          </w:tcPr>
          <w:p w14:paraId="56B3CBAD" w14:textId="77777777" w:rsidR="00DF5E96" w:rsidRPr="00DF5E96" w:rsidRDefault="00DF5E96" w:rsidP="00DF5E96">
            <w:pPr>
              <w:rPr>
                <w:rFonts w:ascii="Garamond" w:hAnsi="Garamond" w:cs="Times New Roman"/>
                <w:sz w:val="24"/>
                <w:szCs w:val="24"/>
              </w:rPr>
            </w:pPr>
          </w:p>
        </w:tc>
        <w:tc>
          <w:tcPr>
            <w:tcW w:w="3487" w:type="dxa"/>
          </w:tcPr>
          <w:p w14:paraId="4A997E1E" w14:textId="77777777" w:rsidR="00DF5E96" w:rsidRPr="00DF5E96" w:rsidRDefault="00DF5E96" w:rsidP="00DF5E96">
            <w:pPr>
              <w:rPr>
                <w:rFonts w:ascii="Garamond" w:hAnsi="Garamond" w:cs="Times New Roman"/>
                <w:sz w:val="24"/>
                <w:szCs w:val="24"/>
              </w:rPr>
            </w:pPr>
          </w:p>
        </w:tc>
        <w:tc>
          <w:tcPr>
            <w:tcW w:w="3487" w:type="dxa"/>
          </w:tcPr>
          <w:p w14:paraId="7D882FAB" w14:textId="5FF7B52C" w:rsidR="00DF5E96" w:rsidRPr="00DF5E96" w:rsidRDefault="00DF5E96" w:rsidP="00DF5E96">
            <w:pPr>
              <w:rPr>
                <w:rFonts w:ascii="Garamond" w:hAnsi="Garamond" w:cs="Times New Roman"/>
                <w:sz w:val="24"/>
                <w:szCs w:val="24"/>
              </w:rPr>
            </w:pPr>
            <w:r>
              <w:rPr>
                <w:rFonts w:ascii="Garamond" w:hAnsi="Garamond" w:cs="Times New Roman"/>
                <w:sz w:val="24"/>
                <w:szCs w:val="24"/>
              </w:rPr>
              <w:t>Deliberative participation</w:t>
            </w:r>
          </w:p>
        </w:tc>
        <w:tc>
          <w:tcPr>
            <w:tcW w:w="3487" w:type="dxa"/>
          </w:tcPr>
          <w:p w14:paraId="6C99AD1A" w14:textId="0776AF44" w:rsidR="00DF5E96" w:rsidRDefault="00DF5E96" w:rsidP="00DF5E96">
            <w:pPr>
              <w:rPr>
                <w:rFonts w:ascii="Garamond" w:hAnsi="Garamond" w:cs="Times New Roman"/>
                <w:sz w:val="24"/>
                <w:szCs w:val="24"/>
              </w:rPr>
            </w:pPr>
            <w:r>
              <w:rPr>
                <w:rFonts w:ascii="Garamond" w:hAnsi="Garamond" w:cs="Times New Roman"/>
                <w:sz w:val="24"/>
                <w:szCs w:val="24"/>
              </w:rPr>
              <w:t>Epistemic contribution</w:t>
            </w:r>
          </w:p>
        </w:tc>
      </w:tr>
      <w:tr w:rsidR="00DF5E96" w14:paraId="0569B91A" w14:textId="77777777" w:rsidTr="00DF5E96">
        <w:tc>
          <w:tcPr>
            <w:tcW w:w="3487" w:type="dxa"/>
          </w:tcPr>
          <w:p w14:paraId="26C13E46" w14:textId="75265B88" w:rsidR="00DF5E96" w:rsidRDefault="00DF5E96" w:rsidP="00DF5E96">
            <w:pPr>
              <w:rPr>
                <w:rFonts w:ascii="Garamond" w:hAnsi="Garamond" w:cs="Times New Roman"/>
                <w:b/>
                <w:sz w:val="24"/>
                <w:szCs w:val="24"/>
              </w:rPr>
            </w:pPr>
            <w:r w:rsidRPr="00DF5E96">
              <w:rPr>
                <w:rFonts w:ascii="Garamond" w:hAnsi="Garamond" w:cs="Times New Roman"/>
                <w:sz w:val="24"/>
                <w:szCs w:val="24"/>
              </w:rPr>
              <w:t>Practical reason</w:t>
            </w:r>
          </w:p>
        </w:tc>
        <w:tc>
          <w:tcPr>
            <w:tcW w:w="3487" w:type="dxa"/>
          </w:tcPr>
          <w:p w14:paraId="5E7EC0DF" w14:textId="7FDC827B" w:rsidR="00DF5E96" w:rsidRDefault="00DF5E96" w:rsidP="00DF5E96">
            <w:pPr>
              <w:rPr>
                <w:rFonts w:ascii="Garamond" w:hAnsi="Garamond" w:cs="Times New Roman"/>
                <w:b/>
                <w:sz w:val="24"/>
                <w:szCs w:val="24"/>
              </w:rPr>
            </w:pPr>
            <w:r w:rsidRPr="00DF5E96">
              <w:rPr>
                <w:rFonts w:ascii="Garamond" w:hAnsi="Garamond" w:cs="Times New Roman"/>
                <w:sz w:val="24"/>
                <w:szCs w:val="24"/>
              </w:rPr>
              <w:t>Practical reason</w:t>
            </w:r>
          </w:p>
        </w:tc>
        <w:tc>
          <w:tcPr>
            <w:tcW w:w="3487" w:type="dxa"/>
          </w:tcPr>
          <w:p w14:paraId="3FBA02C1" w14:textId="372DD22D" w:rsidR="00DF5E96" w:rsidRDefault="00DF5E96" w:rsidP="00DF5E96">
            <w:pPr>
              <w:rPr>
                <w:rFonts w:ascii="Garamond" w:hAnsi="Garamond" w:cs="Times New Roman"/>
                <w:b/>
                <w:sz w:val="24"/>
                <w:szCs w:val="24"/>
              </w:rPr>
            </w:pPr>
            <w:r w:rsidRPr="00DF5E96">
              <w:rPr>
                <w:rFonts w:ascii="Garamond" w:hAnsi="Garamond" w:cs="Times New Roman"/>
                <w:sz w:val="24"/>
                <w:szCs w:val="24"/>
              </w:rPr>
              <w:t>Practical reason</w:t>
            </w:r>
          </w:p>
        </w:tc>
        <w:tc>
          <w:tcPr>
            <w:tcW w:w="3487" w:type="dxa"/>
          </w:tcPr>
          <w:p w14:paraId="5E08747D" w14:textId="0B80B72B" w:rsidR="00DF5E96" w:rsidRDefault="00DF5E96" w:rsidP="00DF5E96">
            <w:pPr>
              <w:rPr>
                <w:rFonts w:ascii="Garamond" w:hAnsi="Garamond" w:cs="Times New Roman"/>
                <w:b/>
                <w:sz w:val="24"/>
                <w:szCs w:val="24"/>
              </w:rPr>
            </w:pPr>
            <w:r w:rsidRPr="00DF5E96">
              <w:rPr>
                <w:rFonts w:ascii="Garamond" w:hAnsi="Garamond" w:cs="Times New Roman"/>
                <w:sz w:val="24"/>
                <w:szCs w:val="24"/>
              </w:rPr>
              <w:t>Navigational and narrative reas</w:t>
            </w:r>
            <w:r>
              <w:rPr>
                <w:rFonts w:ascii="Garamond" w:hAnsi="Garamond" w:cs="Times New Roman"/>
                <w:sz w:val="24"/>
                <w:szCs w:val="24"/>
              </w:rPr>
              <w:t>o</w:t>
            </w:r>
            <w:r w:rsidRPr="00DF5E96">
              <w:rPr>
                <w:rFonts w:ascii="Garamond" w:hAnsi="Garamond" w:cs="Times New Roman"/>
                <w:sz w:val="24"/>
                <w:szCs w:val="24"/>
              </w:rPr>
              <w:t>ning</w:t>
            </w:r>
          </w:p>
        </w:tc>
      </w:tr>
      <w:tr w:rsidR="00DF5E96" w14:paraId="1CFAEF72" w14:textId="77777777" w:rsidTr="00DF5E96">
        <w:tc>
          <w:tcPr>
            <w:tcW w:w="3487" w:type="dxa"/>
          </w:tcPr>
          <w:p w14:paraId="43EEDE2E" w14:textId="54C9DED4" w:rsidR="00DF5E96" w:rsidRDefault="00DF5E96" w:rsidP="00DF5E96">
            <w:pPr>
              <w:rPr>
                <w:rFonts w:ascii="Garamond" w:hAnsi="Garamond" w:cs="Times New Roman"/>
                <w:b/>
                <w:sz w:val="24"/>
                <w:szCs w:val="24"/>
              </w:rPr>
            </w:pPr>
            <w:r w:rsidRPr="00DF5E96">
              <w:rPr>
                <w:rFonts w:ascii="Garamond" w:hAnsi="Garamond" w:cs="Times New Roman"/>
                <w:sz w:val="24"/>
                <w:szCs w:val="24"/>
              </w:rPr>
              <w:t>Learning disposition</w:t>
            </w:r>
          </w:p>
        </w:tc>
        <w:tc>
          <w:tcPr>
            <w:tcW w:w="3487" w:type="dxa"/>
          </w:tcPr>
          <w:p w14:paraId="3DCE6C58" w14:textId="5CF36FB2" w:rsidR="00DF5E96" w:rsidRDefault="00DF5E96" w:rsidP="00DF5E96">
            <w:pPr>
              <w:rPr>
                <w:rFonts w:ascii="Garamond" w:hAnsi="Garamond" w:cs="Times New Roman"/>
                <w:b/>
                <w:sz w:val="24"/>
                <w:szCs w:val="24"/>
              </w:rPr>
            </w:pPr>
            <w:r w:rsidRPr="00DF5E96">
              <w:rPr>
                <w:rFonts w:ascii="Garamond" w:hAnsi="Garamond" w:cs="Times New Roman"/>
                <w:sz w:val="24"/>
                <w:szCs w:val="24"/>
              </w:rPr>
              <w:t>Learning disposition</w:t>
            </w:r>
          </w:p>
        </w:tc>
        <w:tc>
          <w:tcPr>
            <w:tcW w:w="3487" w:type="dxa"/>
          </w:tcPr>
          <w:p w14:paraId="331F3972" w14:textId="77777777" w:rsidR="00DF5E96" w:rsidRDefault="00DF5E96" w:rsidP="00DF5E96">
            <w:pPr>
              <w:rPr>
                <w:rFonts w:ascii="Garamond" w:hAnsi="Garamond" w:cs="Times New Roman"/>
                <w:b/>
                <w:sz w:val="24"/>
                <w:szCs w:val="24"/>
              </w:rPr>
            </w:pPr>
          </w:p>
        </w:tc>
        <w:tc>
          <w:tcPr>
            <w:tcW w:w="3487" w:type="dxa"/>
          </w:tcPr>
          <w:p w14:paraId="4FEB9D36" w14:textId="77777777" w:rsidR="00DF5E96" w:rsidRDefault="00DF5E96" w:rsidP="00DF5E96">
            <w:pPr>
              <w:rPr>
                <w:rFonts w:ascii="Garamond" w:hAnsi="Garamond" w:cs="Times New Roman"/>
                <w:b/>
                <w:sz w:val="24"/>
                <w:szCs w:val="24"/>
              </w:rPr>
            </w:pPr>
          </w:p>
        </w:tc>
      </w:tr>
      <w:tr w:rsidR="00DF5E96" w14:paraId="5F715413" w14:textId="77777777" w:rsidTr="00DF5E96">
        <w:tc>
          <w:tcPr>
            <w:tcW w:w="3487" w:type="dxa"/>
          </w:tcPr>
          <w:p w14:paraId="61C09F2F" w14:textId="4FBC81C7" w:rsidR="00DF5E96" w:rsidRDefault="00DF5E96" w:rsidP="00DF5E96">
            <w:pPr>
              <w:rPr>
                <w:rFonts w:ascii="Garamond" w:hAnsi="Garamond" w:cs="Times New Roman"/>
                <w:b/>
                <w:sz w:val="24"/>
                <w:szCs w:val="24"/>
              </w:rPr>
            </w:pPr>
            <w:r w:rsidRPr="00DF5E96">
              <w:rPr>
                <w:rFonts w:ascii="Garamond" w:hAnsi="Garamond" w:cs="Times New Roman"/>
                <w:sz w:val="24"/>
                <w:szCs w:val="24"/>
              </w:rPr>
              <w:t>Social relations and social networks</w:t>
            </w:r>
          </w:p>
        </w:tc>
        <w:tc>
          <w:tcPr>
            <w:tcW w:w="3487" w:type="dxa"/>
          </w:tcPr>
          <w:p w14:paraId="35A7C5D0" w14:textId="72EC1F44" w:rsidR="00DF5E96" w:rsidRDefault="00DF5E96" w:rsidP="00DF5E96">
            <w:pPr>
              <w:rPr>
                <w:rFonts w:ascii="Garamond" w:hAnsi="Garamond" w:cs="Times New Roman"/>
                <w:b/>
                <w:sz w:val="24"/>
                <w:szCs w:val="24"/>
              </w:rPr>
            </w:pPr>
            <w:r w:rsidRPr="00DF5E96">
              <w:rPr>
                <w:rFonts w:ascii="Garamond" w:hAnsi="Garamond" w:cs="Times New Roman"/>
                <w:sz w:val="24"/>
                <w:szCs w:val="24"/>
              </w:rPr>
              <w:t>Social relations and social networks</w:t>
            </w:r>
          </w:p>
        </w:tc>
        <w:tc>
          <w:tcPr>
            <w:tcW w:w="3487" w:type="dxa"/>
          </w:tcPr>
          <w:p w14:paraId="005C7A15" w14:textId="4F9D2940" w:rsidR="00DF5E96" w:rsidRDefault="00DF5E96" w:rsidP="00DF5E96">
            <w:pPr>
              <w:rPr>
                <w:rFonts w:ascii="Garamond" w:hAnsi="Garamond" w:cs="Times New Roman"/>
                <w:b/>
                <w:sz w:val="24"/>
                <w:szCs w:val="24"/>
              </w:rPr>
            </w:pPr>
            <w:r w:rsidRPr="00DF5E96">
              <w:rPr>
                <w:rFonts w:ascii="Garamond" w:hAnsi="Garamond" w:cs="Times New Roman"/>
                <w:sz w:val="24"/>
                <w:szCs w:val="24"/>
              </w:rPr>
              <w:t>Affiliation</w:t>
            </w:r>
          </w:p>
        </w:tc>
        <w:tc>
          <w:tcPr>
            <w:tcW w:w="3487" w:type="dxa"/>
          </w:tcPr>
          <w:p w14:paraId="76C42FF9" w14:textId="02EFB023" w:rsidR="00DF5E96" w:rsidRDefault="00DF5E96" w:rsidP="00DF5E96">
            <w:pPr>
              <w:rPr>
                <w:rFonts w:ascii="Garamond" w:hAnsi="Garamond" w:cs="Times New Roman"/>
                <w:b/>
                <w:sz w:val="24"/>
                <w:szCs w:val="24"/>
              </w:rPr>
            </w:pPr>
            <w:proofErr w:type="spellStart"/>
            <w:r w:rsidRPr="00DF5E96">
              <w:rPr>
                <w:rFonts w:ascii="Garamond" w:hAnsi="Garamond" w:cs="Times New Roman"/>
                <w:sz w:val="24"/>
                <w:szCs w:val="24"/>
              </w:rPr>
              <w:t>Ubunto</w:t>
            </w:r>
            <w:proofErr w:type="spellEnd"/>
          </w:p>
        </w:tc>
      </w:tr>
      <w:tr w:rsidR="00DF5E96" w14:paraId="508F5623" w14:textId="77777777" w:rsidTr="00DF5E96">
        <w:tc>
          <w:tcPr>
            <w:tcW w:w="3487" w:type="dxa"/>
          </w:tcPr>
          <w:p w14:paraId="19B3456E" w14:textId="01FAB894" w:rsidR="00DF5E96" w:rsidRDefault="00DF5E96" w:rsidP="00DF5E96">
            <w:pPr>
              <w:rPr>
                <w:rFonts w:ascii="Garamond" w:hAnsi="Garamond" w:cs="Times New Roman"/>
                <w:b/>
                <w:sz w:val="24"/>
                <w:szCs w:val="24"/>
              </w:rPr>
            </w:pPr>
            <w:r w:rsidRPr="00DF5E96">
              <w:rPr>
                <w:rFonts w:ascii="Garamond" w:hAnsi="Garamond" w:cs="Times New Roman"/>
                <w:sz w:val="24"/>
                <w:szCs w:val="24"/>
              </w:rPr>
              <w:t>Respect, dignity and recognition</w:t>
            </w:r>
          </w:p>
        </w:tc>
        <w:tc>
          <w:tcPr>
            <w:tcW w:w="3487" w:type="dxa"/>
          </w:tcPr>
          <w:p w14:paraId="0D7B4F5A" w14:textId="0C742B61" w:rsidR="00DF5E96" w:rsidRDefault="00DF5E96" w:rsidP="00DF5E96">
            <w:pPr>
              <w:rPr>
                <w:rFonts w:ascii="Garamond" w:hAnsi="Garamond" w:cs="Times New Roman"/>
                <w:b/>
                <w:sz w:val="24"/>
                <w:szCs w:val="24"/>
              </w:rPr>
            </w:pPr>
            <w:r w:rsidRPr="00DF5E96">
              <w:rPr>
                <w:rFonts w:ascii="Garamond" w:hAnsi="Garamond" w:cs="Times New Roman"/>
                <w:sz w:val="24"/>
                <w:szCs w:val="24"/>
              </w:rPr>
              <w:t>Respect, dignity and recognition</w:t>
            </w:r>
          </w:p>
        </w:tc>
        <w:tc>
          <w:tcPr>
            <w:tcW w:w="3487" w:type="dxa"/>
          </w:tcPr>
          <w:p w14:paraId="4E9FE09F" w14:textId="5DD6233D" w:rsidR="00DF5E96" w:rsidRDefault="00DF5E96" w:rsidP="00DF5E96">
            <w:pPr>
              <w:rPr>
                <w:rFonts w:ascii="Garamond" w:hAnsi="Garamond" w:cs="Times New Roman"/>
                <w:b/>
                <w:sz w:val="24"/>
                <w:szCs w:val="24"/>
              </w:rPr>
            </w:pPr>
            <w:r w:rsidRPr="00DF5E96">
              <w:rPr>
                <w:rFonts w:ascii="Garamond" w:hAnsi="Garamond" w:cs="Times New Roman"/>
                <w:sz w:val="24"/>
                <w:szCs w:val="24"/>
              </w:rPr>
              <w:t>Respect and dignity</w:t>
            </w:r>
          </w:p>
        </w:tc>
        <w:tc>
          <w:tcPr>
            <w:tcW w:w="3487" w:type="dxa"/>
          </w:tcPr>
          <w:p w14:paraId="6679250D" w14:textId="7D754A5B" w:rsidR="00DF5E96" w:rsidRDefault="00DF5E96" w:rsidP="00DF5E96">
            <w:pPr>
              <w:rPr>
                <w:rFonts w:ascii="Garamond" w:hAnsi="Garamond" w:cs="Times New Roman"/>
                <w:b/>
                <w:sz w:val="24"/>
                <w:szCs w:val="24"/>
              </w:rPr>
            </w:pPr>
            <w:r w:rsidRPr="00DF5E96">
              <w:rPr>
                <w:rFonts w:ascii="Garamond" w:hAnsi="Garamond" w:cs="Times New Roman"/>
                <w:sz w:val="24"/>
                <w:szCs w:val="24"/>
              </w:rPr>
              <w:t>Inclusion</w:t>
            </w:r>
          </w:p>
        </w:tc>
      </w:tr>
      <w:tr w:rsidR="00DF5E96" w14:paraId="4E136CA1" w14:textId="77777777" w:rsidTr="00DF5E96">
        <w:tc>
          <w:tcPr>
            <w:tcW w:w="3487" w:type="dxa"/>
          </w:tcPr>
          <w:p w14:paraId="25E86491" w14:textId="22817C62" w:rsidR="00DF5E96" w:rsidRDefault="00DF5E96" w:rsidP="00DF5E96">
            <w:pPr>
              <w:rPr>
                <w:rFonts w:ascii="Garamond" w:hAnsi="Garamond" w:cs="Times New Roman"/>
                <w:b/>
                <w:sz w:val="24"/>
                <w:szCs w:val="24"/>
              </w:rPr>
            </w:pPr>
            <w:r w:rsidRPr="00DF5E96">
              <w:rPr>
                <w:rFonts w:ascii="Garamond" w:hAnsi="Garamond" w:cs="Times New Roman"/>
                <w:sz w:val="24"/>
                <w:szCs w:val="24"/>
              </w:rPr>
              <w:t>Emotional integrity</w:t>
            </w:r>
          </w:p>
        </w:tc>
        <w:tc>
          <w:tcPr>
            <w:tcW w:w="3487" w:type="dxa"/>
          </w:tcPr>
          <w:p w14:paraId="5F66DF12" w14:textId="0341E1CC" w:rsidR="00DF5E96" w:rsidRDefault="00DF5E96" w:rsidP="00DF5E96">
            <w:pPr>
              <w:rPr>
                <w:rFonts w:ascii="Garamond" w:hAnsi="Garamond" w:cs="Times New Roman"/>
                <w:b/>
                <w:sz w:val="24"/>
                <w:szCs w:val="24"/>
              </w:rPr>
            </w:pPr>
            <w:r w:rsidRPr="00DF5E96">
              <w:rPr>
                <w:rFonts w:ascii="Garamond" w:hAnsi="Garamond" w:cs="Times New Roman"/>
                <w:sz w:val="24"/>
                <w:szCs w:val="24"/>
              </w:rPr>
              <w:t>Emotional health</w:t>
            </w:r>
          </w:p>
        </w:tc>
        <w:tc>
          <w:tcPr>
            <w:tcW w:w="3487" w:type="dxa"/>
          </w:tcPr>
          <w:p w14:paraId="0888B1EC" w14:textId="0E9E7804" w:rsidR="00DF5E96" w:rsidRDefault="00DF5E96" w:rsidP="00DF5E96">
            <w:pPr>
              <w:rPr>
                <w:rFonts w:ascii="Garamond" w:hAnsi="Garamond" w:cs="Times New Roman"/>
                <w:b/>
                <w:sz w:val="24"/>
                <w:szCs w:val="24"/>
              </w:rPr>
            </w:pPr>
            <w:r w:rsidRPr="00DF5E96">
              <w:rPr>
                <w:rFonts w:ascii="Garamond" w:hAnsi="Garamond" w:cs="Times New Roman"/>
                <w:sz w:val="24"/>
                <w:szCs w:val="24"/>
              </w:rPr>
              <w:t>Emotional health</w:t>
            </w:r>
          </w:p>
        </w:tc>
        <w:tc>
          <w:tcPr>
            <w:tcW w:w="3487" w:type="dxa"/>
          </w:tcPr>
          <w:p w14:paraId="7F1E724A" w14:textId="0A7C29FF" w:rsidR="00DF5E96" w:rsidRPr="00423233" w:rsidRDefault="00423233" w:rsidP="00DF5E96">
            <w:pPr>
              <w:rPr>
                <w:rFonts w:ascii="Garamond" w:hAnsi="Garamond" w:cs="Times New Roman"/>
                <w:sz w:val="24"/>
                <w:szCs w:val="24"/>
              </w:rPr>
            </w:pPr>
            <w:r w:rsidRPr="00423233">
              <w:rPr>
                <w:rFonts w:ascii="Garamond" w:hAnsi="Garamond" w:cs="Times New Roman"/>
                <w:sz w:val="24"/>
                <w:szCs w:val="24"/>
              </w:rPr>
              <w:t xml:space="preserve">Subsistence </w:t>
            </w:r>
            <w:r>
              <w:rPr>
                <w:rFonts w:ascii="Garamond" w:hAnsi="Garamond" w:cs="Times New Roman"/>
                <w:sz w:val="24"/>
                <w:szCs w:val="24"/>
              </w:rPr>
              <w:t>capabilities</w:t>
            </w:r>
          </w:p>
        </w:tc>
      </w:tr>
      <w:tr w:rsidR="00DF5E96" w14:paraId="235EF3A7" w14:textId="77777777" w:rsidTr="00DF5E96">
        <w:tc>
          <w:tcPr>
            <w:tcW w:w="3487" w:type="dxa"/>
          </w:tcPr>
          <w:p w14:paraId="5A3B3E1E" w14:textId="00A9563F" w:rsidR="00DF5E96" w:rsidRDefault="00423233" w:rsidP="00DF5E96">
            <w:pPr>
              <w:rPr>
                <w:rFonts w:ascii="Garamond" w:hAnsi="Garamond" w:cs="Times New Roman"/>
                <w:b/>
                <w:sz w:val="24"/>
                <w:szCs w:val="24"/>
              </w:rPr>
            </w:pPr>
            <w:r w:rsidRPr="00DF5E96">
              <w:rPr>
                <w:rFonts w:ascii="Garamond" w:hAnsi="Garamond" w:cs="Times New Roman"/>
                <w:sz w:val="24"/>
                <w:szCs w:val="24"/>
              </w:rPr>
              <w:t>Educational resilience</w:t>
            </w:r>
          </w:p>
        </w:tc>
        <w:tc>
          <w:tcPr>
            <w:tcW w:w="3487" w:type="dxa"/>
          </w:tcPr>
          <w:p w14:paraId="2DCAF8BD" w14:textId="77777777" w:rsidR="00DF5E96" w:rsidRDefault="00DF5E96" w:rsidP="00DF5E96">
            <w:pPr>
              <w:rPr>
                <w:rFonts w:ascii="Garamond" w:hAnsi="Garamond" w:cs="Times New Roman"/>
                <w:b/>
                <w:sz w:val="24"/>
                <w:szCs w:val="24"/>
              </w:rPr>
            </w:pPr>
          </w:p>
        </w:tc>
        <w:tc>
          <w:tcPr>
            <w:tcW w:w="3487" w:type="dxa"/>
          </w:tcPr>
          <w:p w14:paraId="5EB53D74" w14:textId="654B6812" w:rsidR="00DF5E96" w:rsidRDefault="00423233" w:rsidP="00DF5E96">
            <w:pPr>
              <w:rPr>
                <w:rFonts w:ascii="Garamond" w:hAnsi="Garamond" w:cs="Times New Roman"/>
                <w:b/>
                <w:sz w:val="24"/>
                <w:szCs w:val="24"/>
              </w:rPr>
            </w:pPr>
            <w:r w:rsidRPr="00DF5E96">
              <w:rPr>
                <w:rFonts w:ascii="Garamond" w:hAnsi="Garamond" w:cs="Times New Roman"/>
                <w:sz w:val="24"/>
                <w:szCs w:val="24"/>
              </w:rPr>
              <w:t>Resilience</w:t>
            </w:r>
          </w:p>
        </w:tc>
        <w:tc>
          <w:tcPr>
            <w:tcW w:w="3487" w:type="dxa"/>
          </w:tcPr>
          <w:p w14:paraId="6A038054" w14:textId="77777777" w:rsidR="00DF5E96" w:rsidRDefault="00DF5E96" w:rsidP="00DF5E96">
            <w:pPr>
              <w:rPr>
                <w:rFonts w:ascii="Garamond" w:hAnsi="Garamond" w:cs="Times New Roman"/>
                <w:b/>
                <w:sz w:val="24"/>
                <w:szCs w:val="24"/>
              </w:rPr>
            </w:pPr>
          </w:p>
        </w:tc>
      </w:tr>
      <w:tr w:rsidR="00423233" w14:paraId="50C1D28F" w14:textId="77777777" w:rsidTr="00DF5E96">
        <w:tc>
          <w:tcPr>
            <w:tcW w:w="3487" w:type="dxa"/>
          </w:tcPr>
          <w:p w14:paraId="01898520" w14:textId="77777777" w:rsidR="00423233" w:rsidRPr="00DF5E96" w:rsidRDefault="00423233" w:rsidP="00DF5E96">
            <w:pPr>
              <w:rPr>
                <w:rFonts w:ascii="Garamond" w:hAnsi="Garamond" w:cs="Times New Roman"/>
                <w:sz w:val="24"/>
                <w:szCs w:val="24"/>
              </w:rPr>
            </w:pPr>
          </w:p>
        </w:tc>
        <w:tc>
          <w:tcPr>
            <w:tcW w:w="3487" w:type="dxa"/>
          </w:tcPr>
          <w:p w14:paraId="13C4BC3F" w14:textId="05922D9B" w:rsidR="00423233" w:rsidRDefault="00423233" w:rsidP="00DF5E96">
            <w:pPr>
              <w:rPr>
                <w:rFonts w:ascii="Garamond" w:hAnsi="Garamond" w:cs="Times New Roman"/>
                <w:b/>
                <w:sz w:val="24"/>
                <w:szCs w:val="24"/>
              </w:rPr>
            </w:pPr>
            <w:r w:rsidRPr="00DF5E96">
              <w:rPr>
                <w:rFonts w:ascii="Garamond" w:hAnsi="Garamond" w:cs="Times New Roman"/>
                <w:sz w:val="24"/>
                <w:szCs w:val="24"/>
              </w:rPr>
              <w:t>Language competence and confidence</w:t>
            </w:r>
          </w:p>
        </w:tc>
        <w:tc>
          <w:tcPr>
            <w:tcW w:w="3487" w:type="dxa"/>
          </w:tcPr>
          <w:p w14:paraId="7D768963" w14:textId="77777777" w:rsidR="00423233" w:rsidRPr="00DF5E96" w:rsidRDefault="00423233" w:rsidP="00DF5E96">
            <w:pPr>
              <w:rPr>
                <w:rFonts w:ascii="Garamond" w:hAnsi="Garamond" w:cs="Times New Roman"/>
                <w:sz w:val="24"/>
                <w:szCs w:val="24"/>
              </w:rPr>
            </w:pPr>
          </w:p>
        </w:tc>
        <w:tc>
          <w:tcPr>
            <w:tcW w:w="3487" w:type="dxa"/>
          </w:tcPr>
          <w:p w14:paraId="478191C3" w14:textId="6E4F13E7" w:rsidR="00423233" w:rsidRPr="00423233" w:rsidRDefault="00423233" w:rsidP="00DF5E96">
            <w:pPr>
              <w:rPr>
                <w:rFonts w:ascii="Garamond" w:hAnsi="Garamond" w:cs="Times New Roman"/>
                <w:sz w:val="24"/>
                <w:szCs w:val="24"/>
              </w:rPr>
            </w:pPr>
            <w:r w:rsidRPr="00423233">
              <w:rPr>
                <w:rFonts w:ascii="Garamond" w:hAnsi="Garamond" w:cs="Times New Roman"/>
                <w:sz w:val="24"/>
                <w:szCs w:val="24"/>
              </w:rPr>
              <w:t xml:space="preserve">Subsistence </w:t>
            </w:r>
            <w:r>
              <w:rPr>
                <w:rFonts w:ascii="Garamond" w:hAnsi="Garamond" w:cs="Times New Roman"/>
                <w:sz w:val="24"/>
                <w:szCs w:val="24"/>
              </w:rPr>
              <w:t>capabilities</w:t>
            </w:r>
          </w:p>
        </w:tc>
      </w:tr>
      <w:tr w:rsidR="00423233" w14:paraId="689BC11B" w14:textId="77777777" w:rsidTr="00DF5E96">
        <w:tc>
          <w:tcPr>
            <w:tcW w:w="3487" w:type="dxa"/>
          </w:tcPr>
          <w:p w14:paraId="7EC9ACCA" w14:textId="342E7DD7" w:rsidR="00423233" w:rsidRPr="00DF5E96" w:rsidRDefault="00423233" w:rsidP="00DF5E96">
            <w:pPr>
              <w:rPr>
                <w:rFonts w:ascii="Garamond" w:hAnsi="Garamond" w:cs="Times New Roman"/>
                <w:sz w:val="24"/>
                <w:szCs w:val="24"/>
              </w:rPr>
            </w:pPr>
            <w:r>
              <w:rPr>
                <w:rFonts w:ascii="Garamond" w:hAnsi="Garamond" w:cs="Times New Roman"/>
                <w:sz w:val="24"/>
                <w:szCs w:val="24"/>
              </w:rPr>
              <w:t>Bodily integrity</w:t>
            </w:r>
          </w:p>
        </w:tc>
        <w:tc>
          <w:tcPr>
            <w:tcW w:w="3487" w:type="dxa"/>
          </w:tcPr>
          <w:p w14:paraId="19F6CEC6" w14:textId="77777777" w:rsidR="00423233" w:rsidRPr="00DF5E96" w:rsidRDefault="00423233" w:rsidP="00DF5E96">
            <w:pPr>
              <w:rPr>
                <w:rFonts w:ascii="Garamond" w:hAnsi="Garamond" w:cs="Times New Roman"/>
                <w:sz w:val="24"/>
                <w:szCs w:val="24"/>
              </w:rPr>
            </w:pPr>
          </w:p>
        </w:tc>
        <w:tc>
          <w:tcPr>
            <w:tcW w:w="3487" w:type="dxa"/>
          </w:tcPr>
          <w:p w14:paraId="2C67527B" w14:textId="77777777" w:rsidR="00423233" w:rsidRPr="00DF5E96" w:rsidRDefault="00423233" w:rsidP="00DF5E96">
            <w:pPr>
              <w:rPr>
                <w:rFonts w:ascii="Garamond" w:hAnsi="Garamond" w:cs="Times New Roman"/>
                <w:sz w:val="24"/>
                <w:szCs w:val="24"/>
              </w:rPr>
            </w:pPr>
          </w:p>
        </w:tc>
        <w:tc>
          <w:tcPr>
            <w:tcW w:w="3487" w:type="dxa"/>
          </w:tcPr>
          <w:p w14:paraId="12D3F647" w14:textId="7028D729" w:rsidR="00423233" w:rsidRPr="00423233" w:rsidRDefault="00423233" w:rsidP="00DF5E96">
            <w:pPr>
              <w:rPr>
                <w:rFonts w:ascii="Garamond" w:hAnsi="Garamond" w:cs="Times New Roman"/>
                <w:sz w:val="24"/>
                <w:szCs w:val="24"/>
              </w:rPr>
            </w:pPr>
          </w:p>
        </w:tc>
      </w:tr>
      <w:tr w:rsidR="00BC5D3D" w14:paraId="3AF3248F" w14:textId="77777777" w:rsidTr="00DF5E96">
        <w:tc>
          <w:tcPr>
            <w:tcW w:w="3487" w:type="dxa"/>
          </w:tcPr>
          <w:p w14:paraId="16DCE4F6" w14:textId="77777777" w:rsidR="00BC5D3D" w:rsidRDefault="00BC5D3D" w:rsidP="00DF5E96">
            <w:pPr>
              <w:rPr>
                <w:rFonts w:ascii="Garamond" w:hAnsi="Garamond" w:cs="Times New Roman"/>
                <w:sz w:val="24"/>
                <w:szCs w:val="24"/>
              </w:rPr>
            </w:pPr>
          </w:p>
        </w:tc>
        <w:tc>
          <w:tcPr>
            <w:tcW w:w="3487" w:type="dxa"/>
          </w:tcPr>
          <w:p w14:paraId="334876D4" w14:textId="77777777" w:rsidR="00BC5D3D" w:rsidRPr="00DF5E96" w:rsidRDefault="00BC5D3D" w:rsidP="00DF5E96">
            <w:pPr>
              <w:rPr>
                <w:rFonts w:ascii="Garamond" w:hAnsi="Garamond" w:cs="Times New Roman"/>
                <w:sz w:val="24"/>
                <w:szCs w:val="24"/>
              </w:rPr>
            </w:pPr>
          </w:p>
        </w:tc>
        <w:tc>
          <w:tcPr>
            <w:tcW w:w="3487" w:type="dxa"/>
          </w:tcPr>
          <w:p w14:paraId="7E036519" w14:textId="77777777" w:rsidR="00BC5D3D" w:rsidRPr="00DF5E96" w:rsidRDefault="00BC5D3D" w:rsidP="00DF5E96">
            <w:pPr>
              <w:rPr>
                <w:rFonts w:ascii="Garamond" w:hAnsi="Garamond" w:cs="Times New Roman"/>
                <w:sz w:val="24"/>
                <w:szCs w:val="24"/>
              </w:rPr>
            </w:pPr>
          </w:p>
        </w:tc>
        <w:tc>
          <w:tcPr>
            <w:tcW w:w="3487" w:type="dxa"/>
          </w:tcPr>
          <w:p w14:paraId="634A783A" w14:textId="69D32040" w:rsidR="00BC5D3D" w:rsidRDefault="00BC5D3D" w:rsidP="00DF5E96">
            <w:pPr>
              <w:rPr>
                <w:rFonts w:ascii="Garamond" w:hAnsi="Garamond" w:cs="Times New Roman"/>
                <w:sz w:val="24"/>
                <w:szCs w:val="24"/>
              </w:rPr>
            </w:pPr>
            <w:r>
              <w:rPr>
                <w:rFonts w:ascii="Garamond" w:hAnsi="Garamond" w:cs="Times New Roman"/>
                <w:sz w:val="24"/>
                <w:szCs w:val="24"/>
              </w:rPr>
              <w:t>Work</w:t>
            </w:r>
          </w:p>
        </w:tc>
      </w:tr>
    </w:tbl>
    <w:p w14:paraId="4EC3CE71" w14:textId="218E5686" w:rsidR="00DF5E96" w:rsidRDefault="00DF5E96" w:rsidP="007B30AD">
      <w:pPr>
        <w:rPr>
          <w:rFonts w:ascii="Garamond" w:hAnsi="Garamond" w:cs="Times New Roman"/>
          <w:b/>
          <w:sz w:val="24"/>
          <w:szCs w:val="24"/>
        </w:rPr>
      </w:pPr>
    </w:p>
    <w:p w14:paraId="6C9A082D" w14:textId="3B519BFC" w:rsidR="00AC4FCD" w:rsidRDefault="00AC4FCD" w:rsidP="007B30AD">
      <w:pPr>
        <w:rPr>
          <w:rFonts w:ascii="Garamond" w:hAnsi="Garamond" w:cs="Times New Roman"/>
          <w:b/>
          <w:sz w:val="24"/>
          <w:szCs w:val="24"/>
        </w:rPr>
      </w:pPr>
      <w:r>
        <w:rPr>
          <w:rFonts w:ascii="Garamond" w:hAnsi="Garamond" w:cs="Times New Roman"/>
          <w:b/>
          <w:sz w:val="24"/>
          <w:szCs w:val="24"/>
        </w:rPr>
        <w:t>The Capability for E</w:t>
      </w:r>
      <w:r w:rsidR="00F91FA3">
        <w:rPr>
          <w:rFonts w:ascii="Garamond" w:hAnsi="Garamond" w:cs="Times New Roman"/>
          <w:b/>
          <w:sz w:val="24"/>
          <w:szCs w:val="24"/>
        </w:rPr>
        <w:t>p</w:t>
      </w:r>
      <w:r>
        <w:rPr>
          <w:rFonts w:ascii="Garamond" w:hAnsi="Garamond" w:cs="Times New Roman"/>
          <w:b/>
          <w:sz w:val="24"/>
          <w:szCs w:val="24"/>
        </w:rPr>
        <w:t>istemic</w:t>
      </w:r>
      <w:r w:rsidR="00F91FA3">
        <w:rPr>
          <w:rFonts w:ascii="Garamond" w:hAnsi="Garamond" w:cs="Times New Roman"/>
          <w:b/>
          <w:sz w:val="24"/>
          <w:szCs w:val="24"/>
        </w:rPr>
        <w:t xml:space="preserve"> Contribution</w:t>
      </w:r>
      <w:r w:rsidR="007F7F53">
        <w:rPr>
          <w:rFonts w:ascii="Garamond" w:hAnsi="Garamond" w:cs="Times New Roman"/>
          <w:b/>
          <w:sz w:val="24"/>
          <w:szCs w:val="24"/>
        </w:rPr>
        <w:t xml:space="preserve"> (Fricker, 2015)</w:t>
      </w:r>
    </w:p>
    <w:p w14:paraId="2E31576A" w14:textId="173DD0AC" w:rsidR="00F91FA3" w:rsidRDefault="007F7F53" w:rsidP="007B30AD">
      <w:pPr>
        <w:rPr>
          <w:rFonts w:ascii="Garamond" w:hAnsi="Garamond" w:cs="Times New Roman"/>
          <w:sz w:val="24"/>
          <w:szCs w:val="24"/>
        </w:rPr>
      </w:pPr>
      <w:r>
        <w:rPr>
          <w:rFonts w:ascii="Garamond" w:hAnsi="Garamond" w:cs="Times New Roman"/>
          <w:sz w:val="24"/>
          <w:szCs w:val="24"/>
        </w:rPr>
        <w:t>‘</w:t>
      </w:r>
      <w:r w:rsidRPr="007F7F53">
        <w:rPr>
          <w:rFonts w:ascii="Garamond" w:hAnsi="Garamond" w:cs="Times New Roman"/>
          <w:sz w:val="24"/>
          <w:szCs w:val="24"/>
        </w:rPr>
        <w:t>[An] internal capability for forming and sharing beliefs about the world [ and] not have them rejected or under-rated</w:t>
      </w:r>
      <w:r>
        <w:rPr>
          <w:rFonts w:ascii="Garamond" w:hAnsi="Garamond" w:cs="Times New Roman"/>
          <w:sz w:val="24"/>
          <w:szCs w:val="24"/>
        </w:rPr>
        <w:t>.’</w:t>
      </w:r>
    </w:p>
    <w:p w14:paraId="01E4433D" w14:textId="53C646AC" w:rsidR="007F7F53" w:rsidRDefault="007F7F53" w:rsidP="007B30AD">
      <w:pPr>
        <w:rPr>
          <w:rFonts w:ascii="Garamond" w:hAnsi="Garamond" w:cs="Times New Roman"/>
          <w:sz w:val="24"/>
          <w:szCs w:val="24"/>
        </w:rPr>
      </w:pPr>
      <w:r>
        <w:rPr>
          <w:rFonts w:ascii="Garamond" w:hAnsi="Garamond" w:cs="Times New Roman"/>
          <w:sz w:val="24"/>
          <w:szCs w:val="24"/>
        </w:rPr>
        <w:t>‘</w:t>
      </w:r>
      <w:r w:rsidRPr="007F7F53">
        <w:rPr>
          <w:rFonts w:ascii="Garamond" w:hAnsi="Garamond" w:cs="Times New Roman"/>
          <w:sz w:val="24"/>
          <w:szCs w:val="24"/>
        </w:rPr>
        <w:t>Testimonial injustice happens when a person offers their view on something</w:t>
      </w:r>
      <w:r>
        <w:rPr>
          <w:rFonts w:ascii="Garamond" w:hAnsi="Garamond" w:cs="Times New Roman"/>
          <w:sz w:val="24"/>
          <w:szCs w:val="24"/>
        </w:rPr>
        <w:t xml:space="preserve"> […]</w:t>
      </w:r>
      <w:r w:rsidRPr="007F7F53">
        <w:rPr>
          <w:rFonts w:ascii="Garamond" w:hAnsi="Garamond" w:cs="Times New Roman"/>
          <w:sz w:val="24"/>
          <w:szCs w:val="24"/>
        </w:rPr>
        <w:t xml:space="preserve"> but receives a deflated level of credibility owing to prejudice on the hearer’s part</w:t>
      </w:r>
      <w:r>
        <w:rPr>
          <w:rFonts w:ascii="Garamond" w:hAnsi="Garamond" w:cs="Times New Roman"/>
          <w:sz w:val="24"/>
          <w:szCs w:val="24"/>
        </w:rPr>
        <w:t>.’ (relating to ‘informational materials’)</w:t>
      </w:r>
    </w:p>
    <w:p w14:paraId="78921BBC" w14:textId="5B6F65AB" w:rsidR="00F821CC" w:rsidRDefault="00F821CC" w:rsidP="007B30AD">
      <w:pPr>
        <w:rPr>
          <w:rFonts w:ascii="Garamond" w:hAnsi="Garamond" w:cs="Times New Roman"/>
          <w:sz w:val="24"/>
          <w:szCs w:val="24"/>
        </w:rPr>
      </w:pPr>
      <w:r>
        <w:rPr>
          <w:rFonts w:ascii="Garamond" w:hAnsi="Garamond" w:cs="Times New Roman"/>
          <w:sz w:val="24"/>
          <w:szCs w:val="24"/>
        </w:rPr>
        <w:t>‘H</w:t>
      </w:r>
      <w:r w:rsidRPr="00F821CC">
        <w:rPr>
          <w:rFonts w:ascii="Garamond" w:hAnsi="Garamond" w:cs="Times New Roman"/>
          <w:sz w:val="24"/>
          <w:szCs w:val="24"/>
        </w:rPr>
        <w:t>ermeneutical injustice</w:t>
      </w:r>
      <w:r>
        <w:rPr>
          <w:rFonts w:ascii="Garamond" w:hAnsi="Garamond" w:cs="Times New Roman"/>
          <w:sz w:val="24"/>
          <w:szCs w:val="24"/>
        </w:rPr>
        <w:t xml:space="preserve"> [is] </w:t>
      </w:r>
      <w:r w:rsidRPr="00F821CC">
        <w:rPr>
          <w:rFonts w:ascii="Garamond" w:hAnsi="Garamond" w:cs="Times New Roman"/>
          <w:sz w:val="24"/>
          <w:szCs w:val="24"/>
        </w:rPr>
        <w:t xml:space="preserve">the kind of epistemic injustice that relates to the creation and use of interpretive materials. This occurs when someone who is hermeneutically marginalised (in some degree, in some area of her social experience) makes an unsuccessful or semi-unsuccessful attempt to </w:t>
      </w:r>
      <w:r w:rsidRPr="00F821CC">
        <w:rPr>
          <w:rFonts w:ascii="Garamond" w:hAnsi="Garamond" w:cs="Times New Roman"/>
          <w:sz w:val="24"/>
          <w:szCs w:val="24"/>
        </w:rPr>
        <w:lastRenderedPageBreak/>
        <w:t>render an experience communicatively intelligible to others, where the lack of intelligibility is significantly caused by her hermeneutical marginalisation. Someone counts as hermeneutically marginalised when she enjoys less than some reasonable level of participation in the generation of shared social meanings (concepts, interpretive tropes, and so on).</w:t>
      </w:r>
      <w:r>
        <w:rPr>
          <w:rFonts w:ascii="Garamond" w:hAnsi="Garamond" w:cs="Times New Roman"/>
          <w:sz w:val="24"/>
          <w:szCs w:val="24"/>
        </w:rPr>
        <w:t>’</w:t>
      </w:r>
    </w:p>
    <w:p w14:paraId="105A3122" w14:textId="54D7B1B1" w:rsidR="009F254C" w:rsidRDefault="00F821CC" w:rsidP="009F254C">
      <w:pPr>
        <w:rPr>
          <w:rFonts w:ascii="Garamond" w:hAnsi="Garamond" w:cs="Times New Roman"/>
          <w:sz w:val="24"/>
          <w:szCs w:val="24"/>
        </w:rPr>
      </w:pPr>
      <w:r w:rsidRPr="00F821CC">
        <w:rPr>
          <w:rFonts w:ascii="Garamond" w:hAnsi="Garamond" w:cs="Times New Roman"/>
          <w:b/>
          <w:i/>
          <w:sz w:val="24"/>
          <w:szCs w:val="24"/>
        </w:rPr>
        <w:t>Potential sources of knowledge (epistemic materials) relevant to succeeding in higher education</w:t>
      </w:r>
      <w:r>
        <w:rPr>
          <w:rFonts w:ascii="Garamond" w:hAnsi="Garamond" w:cs="Times New Roman"/>
          <w:sz w:val="24"/>
          <w:szCs w:val="24"/>
        </w:rPr>
        <w:t xml:space="preserve">: </w:t>
      </w:r>
      <w:r w:rsidR="009F254C">
        <w:rPr>
          <w:rFonts w:ascii="Garamond" w:hAnsi="Garamond" w:cs="Times New Roman"/>
          <w:sz w:val="24"/>
          <w:szCs w:val="24"/>
        </w:rPr>
        <w:t xml:space="preserve">Community cultural wealth constitutes these capitals: </w:t>
      </w:r>
      <w:r w:rsidRPr="00F821CC">
        <w:rPr>
          <w:rFonts w:ascii="Garamond" w:hAnsi="Garamond" w:cs="Times New Roman"/>
          <w:sz w:val="24"/>
          <w:szCs w:val="24"/>
        </w:rPr>
        <w:t>Aspirationa</w:t>
      </w:r>
      <w:r>
        <w:rPr>
          <w:rFonts w:ascii="Garamond" w:hAnsi="Garamond" w:cs="Times New Roman"/>
          <w:sz w:val="24"/>
          <w:szCs w:val="24"/>
        </w:rPr>
        <w:t>l</w:t>
      </w:r>
      <w:r w:rsidR="009F254C">
        <w:rPr>
          <w:rFonts w:ascii="Garamond" w:hAnsi="Garamond" w:cs="Times New Roman"/>
          <w:sz w:val="24"/>
          <w:szCs w:val="24"/>
        </w:rPr>
        <w:t>,</w:t>
      </w:r>
      <w:r>
        <w:rPr>
          <w:rFonts w:ascii="Garamond" w:hAnsi="Garamond" w:cs="Times New Roman"/>
          <w:sz w:val="24"/>
          <w:szCs w:val="24"/>
        </w:rPr>
        <w:t xml:space="preserve"> </w:t>
      </w:r>
      <w:r w:rsidR="009F254C" w:rsidRPr="00F821CC">
        <w:rPr>
          <w:rFonts w:ascii="Garamond" w:hAnsi="Garamond" w:cs="Times New Roman"/>
          <w:sz w:val="24"/>
          <w:szCs w:val="24"/>
        </w:rPr>
        <w:t>Linguistic</w:t>
      </w:r>
      <w:r w:rsidR="009F254C">
        <w:rPr>
          <w:rFonts w:ascii="Garamond" w:hAnsi="Garamond" w:cs="Times New Roman"/>
          <w:sz w:val="24"/>
          <w:szCs w:val="24"/>
        </w:rPr>
        <w:t>,</w:t>
      </w:r>
      <w:r w:rsidR="009F254C" w:rsidRPr="00F821CC">
        <w:rPr>
          <w:rFonts w:ascii="Garamond" w:hAnsi="Garamond" w:cs="Times New Roman"/>
          <w:sz w:val="24"/>
          <w:szCs w:val="24"/>
        </w:rPr>
        <w:t xml:space="preserve"> Familial</w:t>
      </w:r>
      <w:r w:rsidR="009F254C">
        <w:rPr>
          <w:rFonts w:ascii="Garamond" w:hAnsi="Garamond" w:cs="Times New Roman"/>
          <w:sz w:val="24"/>
          <w:szCs w:val="24"/>
        </w:rPr>
        <w:t xml:space="preserve">, </w:t>
      </w:r>
      <w:r w:rsidR="009F254C" w:rsidRPr="00F821CC">
        <w:rPr>
          <w:rFonts w:ascii="Garamond" w:hAnsi="Garamond" w:cs="Times New Roman"/>
          <w:sz w:val="24"/>
          <w:szCs w:val="24"/>
        </w:rPr>
        <w:t>Social</w:t>
      </w:r>
      <w:r w:rsidR="009F254C">
        <w:rPr>
          <w:rFonts w:ascii="Garamond" w:hAnsi="Garamond" w:cs="Times New Roman"/>
          <w:sz w:val="24"/>
          <w:szCs w:val="24"/>
        </w:rPr>
        <w:t>,</w:t>
      </w:r>
      <w:r w:rsidR="009F254C" w:rsidRPr="00F821CC">
        <w:rPr>
          <w:rFonts w:ascii="Garamond" w:hAnsi="Garamond" w:cs="Times New Roman"/>
          <w:sz w:val="24"/>
          <w:szCs w:val="24"/>
        </w:rPr>
        <w:t xml:space="preserve"> </w:t>
      </w:r>
      <w:r w:rsidRPr="00F821CC">
        <w:rPr>
          <w:rFonts w:ascii="Garamond" w:hAnsi="Garamond" w:cs="Times New Roman"/>
          <w:sz w:val="24"/>
          <w:szCs w:val="24"/>
        </w:rPr>
        <w:t>Navigationa</w:t>
      </w:r>
      <w:r w:rsidR="009F254C">
        <w:rPr>
          <w:rFonts w:ascii="Garamond" w:hAnsi="Garamond" w:cs="Times New Roman"/>
          <w:sz w:val="24"/>
          <w:szCs w:val="24"/>
        </w:rPr>
        <w:t>l</w:t>
      </w:r>
      <w:r w:rsidR="009F254C" w:rsidRPr="009F254C">
        <w:rPr>
          <w:rFonts w:ascii="Garamond" w:hAnsi="Garamond" w:cs="Times New Roman"/>
          <w:sz w:val="24"/>
          <w:szCs w:val="24"/>
        </w:rPr>
        <w:t xml:space="preserve"> </w:t>
      </w:r>
      <w:r w:rsidR="009F254C" w:rsidRPr="00F821CC">
        <w:rPr>
          <w:rFonts w:ascii="Garamond" w:hAnsi="Garamond" w:cs="Times New Roman"/>
          <w:sz w:val="24"/>
          <w:szCs w:val="24"/>
        </w:rPr>
        <w:t>and</w:t>
      </w:r>
      <w:r w:rsidR="009F254C">
        <w:rPr>
          <w:rFonts w:ascii="Garamond" w:hAnsi="Garamond" w:cs="Times New Roman"/>
          <w:sz w:val="24"/>
          <w:szCs w:val="24"/>
        </w:rPr>
        <w:t xml:space="preserve"> </w:t>
      </w:r>
      <w:r w:rsidR="009F254C" w:rsidRPr="00F821CC">
        <w:rPr>
          <w:rFonts w:ascii="Garamond" w:hAnsi="Garamond" w:cs="Times New Roman"/>
          <w:sz w:val="24"/>
          <w:szCs w:val="24"/>
        </w:rPr>
        <w:t>Resistan</w:t>
      </w:r>
      <w:r w:rsidR="009F254C">
        <w:rPr>
          <w:rFonts w:ascii="Garamond" w:hAnsi="Garamond" w:cs="Times New Roman"/>
          <w:sz w:val="24"/>
          <w:szCs w:val="24"/>
        </w:rPr>
        <w:t xml:space="preserve">t </w:t>
      </w:r>
      <w:r w:rsidR="009F254C" w:rsidRPr="00F821CC">
        <w:rPr>
          <w:rFonts w:ascii="Garamond" w:hAnsi="Garamond" w:cs="Times New Roman"/>
          <w:sz w:val="24"/>
          <w:szCs w:val="24"/>
        </w:rPr>
        <w:t>(</w:t>
      </w:r>
      <w:proofErr w:type="spellStart"/>
      <w:r w:rsidR="009F254C" w:rsidRPr="00F821CC">
        <w:rPr>
          <w:rFonts w:ascii="Garamond" w:hAnsi="Garamond" w:cs="Times New Roman"/>
          <w:sz w:val="24"/>
          <w:szCs w:val="24"/>
        </w:rPr>
        <w:t>Yosso</w:t>
      </w:r>
      <w:proofErr w:type="spellEnd"/>
      <w:r w:rsidR="009F254C" w:rsidRPr="00F821CC">
        <w:rPr>
          <w:rFonts w:ascii="Garamond" w:hAnsi="Garamond" w:cs="Times New Roman"/>
          <w:sz w:val="24"/>
          <w:szCs w:val="24"/>
        </w:rPr>
        <w:t>, 2005)</w:t>
      </w:r>
    </w:p>
    <w:p w14:paraId="71C8C6B0" w14:textId="1B032CE5" w:rsidR="00BC5D3D" w:rsidRPr="00BC5D3D" w:rsidRDefault="00BC5D3D" w:rsidP="009F254C">
      <w:pPr>
        <w:rPr>
          <w:rFonts w:ascii="Garamond" w:hAnsi="Garamond" w:cs="Times New Roman"/>
          <w:sz w:val="24"/>
          <w:szCs w:val="24"/>
        </w:rPr>
      </w:pPr>
      <w:r>
        <w:rPr>
          <w:rFonts w:ascii="Garamond" w:hAnsi="Garamond" w:cs="Times New Roman"/>
          <w:sz w:val="24"/>
          <w:szCs w:val="24"/>
        </w:rPr>
        <w:t>Pedagogy and curriculum mediate epistemic contribution by providing ‘</w:t>
      </w:r>
      <w:r w:rsidRPr="00BC5D3D">
        <w:rPr>
          <w:rFonts w:ascii="Garamond" w:hAnsi="Garamond" w:cs="Times New Roman"/>
          <w:b/>
          <w:i/>
          <w:sz w:val="24"/>
          <w:szCs w:val="24"/>
        </w:rPr>
        <w:t>epistemological access’</w:t>
      </w:r>
      <w:r>
        <w:rPr>
          <w:rFonts w:ascii="Garamond" w:hAnsi="Garamond" w:cs="Times New Roman"/>
          <w:b/>
          <w:sz w:val="24"/>
          <w:szCs w:val="24"/>
        </w:rPr>
        <w:t>’ (</w:t>
      </w:r>
      <w:r w:rsidRPr="00BC5D3D">
        <w:rPr>
          <w:rFonts w:ascii="Garamond" w:hAnsi="Garamond" w:cs="Times New Roman"/>
          <w:sz w:val="24"/>
          <w:szCs w:val="24"/>
        </w:rPr>
        <w:t>Morrow, 2009)</w:t>
      </w:r>
      <w:r>
        <w:rPr>
          <w:rFonts w:ascii="Garamond" w:hAnsi="Garamond" w:cs="Times New Roman"/>
          <w:sz w:val="24"/>
          <w:szCs w:val="24"/>
        </w:rPr>
        <w:t>.</w:t>
      </w:r>
    </w:p>
    <w:p w14:paraId="050C8952" w14:textId="77BA0BD3" w:rsidR="00DF21E4" w:rsidRPr="00F821CC" w:rsidRDefault="00DF21E4" w:rsidP="00DF21E4">
      <w:pPr>
        <w:rPr>
          <w:rFonts w:ascii="Garamond" w:hAnsi="Garamond" w:cs="Times New Roman"/>
          <w:sz w:val="24"/>
          <w:szCs w:val="24"/>
        </w:rPr>
      </w:pPr>
      <w:r w:rsidRPr="00DF5E96">
        <w:rPr>
          <w:rFonts w:ascii="Garamond" w:hAnsi="Garamond" w:cs="Times New Roman"/>
          <w:b/>
          <w:sz w:val="24"/>
          <w:szCs w:val="24"/>
        </w:rPr>
        <w:t>Questions</w:t>
      </w:r>
    </w:p>
    <w:p w14:paraId="3FED88FA" w14:textId="4B9B237C" w:rsidR="00BE1C41" w:rsidRPr="00DD1C97" w:rsidRDefault="00BE1C41" w:rsidP="00DD1C97">
      <w:pPr>
        <w:pStyle w:val="ListParagraph"/>
        <w:numPr>
          <w:ilvl w:val="0"/>
          <w:numId w:val="2"/>
        </w:numPr>
        <w:rPr>
          <w:rFonts w:ascii="Garamond" w:hAnsi="Garamond" w:cs="Times New Roman"/>
          <w:sz w:val="24"/>
          <w:szCs w:val="24"/>
        </w:rPr>
      </w:pPr>
      <w:r w:rsidRPr="00DD1C97">
        <w:rPr>
          <w:rFonts w:ascii="Garamond" w:hAnsi="Garamond" w:cs="Times New Roman"/>
          <w:sz w:val="24"/>
          <w:szCs w:val="24"/>
        </w:rPr>
        <w:t>Why capabilities?</w:t>
      </w:r>
    </w:p>
    <w:p w14:paraId="19AD1794" w14:textId="08131C64" w:rsidR="00A53C6F" w:rsidRPr="00DD1C97" w:rsidRDefault="00A53C6F" w:rsidP="00DD1C97">
      <w:pPr>
        <w:pStyle w:val="ListParagraph"/>
        <w:numPr>
          <w:ilvl w:val="0"/>
          <w:numId w:val="2"/>
        </w:numPr>
        <w:rPr>
          <w:rFonts w:ascii="Garamond" w:hAnsi="Garamond" w:cs="Times New Roman"/>
          <w:sz w:val="24"/>
          <w:szCs w:val="24"/>
        </w:rPr>
      </w:pPr>
      <w:r w:rsidRPr="00DD1C97">
        <w:rPr>
          <w:rFonts w:ascii="Garamond" w:hAnsi="Garamond" w:cs="Times New Roman"/>
          <w:sz w:val="24"/>
          <w:szCs w:val="24"/>
        </w:rPr>
        <w:t>What capabilities (freedoms and opportunities) would characterise having been at university, or put another way, being a graduate?</w:t>
      </w:r>
    </w:p>
    <w:p w14:paraId="5CA7DCF7" w14:textId="55091978" w:rsidR="00F91FA3" w:rsidRPr="00DD1C97" w:rsidRDefault="00A53C6F" w:rsidP="00DD1C97">
      <w:pPr>
        <w:pStyle w:val="ListParagraph"/>
        <w:numPr>
          <w:ilvl w:val="0"/>
          <w:numId w:val="2"/>
        </w:numPr>
        <w:rPr>
          <w:rFonts w:ascii="Garamond" w:hAnsi="Garamond" w:cs="Times New Roman"/>
          <w:sz w:val="24"/>
          <w:szCs w:val="24"/>
        </w:rPr>
      </w:pPr>
      <w:r w:rsidRPr="00DD1C97">
        <w:rPr>
          <w:rFonts w:ascii="Garamond" w:hAnsi="Garamond" w:cs="Times New Roman"/>
          <w:sz w:val="24"/>
          <w:szCs w:val="24"/>
        </w:rPr>
        <w:t>What conversion factors are necessary for epistemic contribution as a capability of higher education</w:t>
      </w:r>
      <w:r w:rsidR="00F91FA3" w:rsidRPr="00DD1C97">
        <w:rPr>
          <w:rFonts w:ascii="Garamond" w:hAnsi="Garamond" w:cs="Times New Roman"/>
          <w:sz w:val="24"/>
          <w:szCs w:val="24"/>
        </w:rPr>
        <w:t>?</w:t>
      </w:r>
    </w:p>
    <w:p w14:paraId="5922FAEA" w14:textId="112987B0" w:rsidR="00F91FA3" w:rsidRPr="00DD1C97" w:rsidRDefault="00F91FA3" w:rsidP="00DD1C97">
      <w:pPr>
        <w:pStyle w:val="ListParagraph"/>
        <w:numPr>
          <w:ilvl w:val="0"/>
          <w:numId w:val="2"/>
        </w:numPr>
        <w:rPr>
          <w:rFonts w:ascii="Garamond" w:hAnsi="Garamond" w:cs="Times New Roman"/>
          <w:sz w:val="24"/>
          <w:szCs w:val="24"/>
        </w:rPr>
      </w:pPr>
      <w:r w:rsidRPr="00DD1C97">
        <w:rPr>
          <w:rFonts w:ascii="Garamond" w:hAnsi="Garamond" w:cs="Times New Roman"/>
          <w:sz w:val="24"/>
          <w:szCs w:val="24"/>
        </w:rPr>
        <w:t>How can the NERUPI framework be used in a capability-type of way?</w:t>
      </w:r>
    </w:p>
    <w:p w14:paraId="3B02522D" w14:textId="773BD567" w:rsidR="001824E2" w:rsidRPr="00DF5E96" w:rsidRDefault="00B254EE" w:rsidP="00DF21E4">
      <w:pPr>
        <w:rPr>
          <w:rFonts w:ascii="Garamond" w:hAnsi="Garamond" w:cs="Times New Roman"/>
          <w:b/>
          <w:sz w:val="24"/>
          <w:szCs w:val="24"/>
        </w:rPr>
      </w:pPr>
      <w:r w:rsidRPr="00DF5E96">
        <w:rPr>
          <w:rFonts w:ascii="Garamond" w:hAnsi="Garamond" w:cs="Times New Roman"/>
          <w:b/>
          <w:sz w:val="24"/>
          <w:szCs w:val="24"/>
        </w:rPr>
        <w:t>Bibliography</w:t>
      </w:r>
      <w:r w:rsidR="00086758" w:rsidRPr="00DF5E96">
        <w:rPr>
          <w:rFonts w:ascii="Garamond" w:hAnsi="Garamond" w:cs="Times New Roman"/>
          <w:b/>
          <w:sz w:val="24"/>
          <w:szCs w:val="24"/>
        </w:rPr>
        <w:t xml:space="preserve"> and References</w:t>
      </w:r>
    </w:p>
    <w:p w14:paraId="03311698" w14:textId="63AF642D" w:rsidR="00B254EE" w:rsidRDefault="00B254EE" w:rsidP="00DF21E4">
      <w:pPr>
        <w:rPr>
          <w:rFonts w:ascii="Garamond" w:hAnsi="Garamond" w:cs="Times New Roman"/>
          <w:sz w:val="24"/>
          <w:szCs w:val="24"/>
        </w:rPr>
      </w:pPr>
      <w:proofErr w:type="spellStart"/>
      <w:r w:rsidRPr="00DF5E96">
        <w:rPr>
          <w:rFonts w:ascii="Garamond" w:hAnsi="Garamond" w:cs="Times New Roman"/>
          <w:sz w:val="24"/>
          <w:szCs w:val="24"/>
        </w:rPr>
        <w:t>Boni</w:t>
      </w:r>
      <w:proofErr w:type="spellEnd"/>
      <w:r w:rsidR="00CF5256" w:rsidRPr="00DF5E96">
        <w:rPr>
          <w:rFonts w:ascii="Garamond" w:hAnsi="Garamond" w:cs="Times New Roman"/>
          <w:sz w:val="24"/>
          <w:szCs w:val="24"/>
        </w:rPr>
        <w:t xml:space="preserve">, A. and Walker, M (2013) </w:t>
      </w:r>
      <w:r w:rsidR="00CF5256" w:rsidRPr="00DF5E96">
        <w:rPr>
          <w:rFonts w:ascii="Garamond" w:hAnsi="Garamond" w:cs="Times New Roman"/>
          <w:i/>
          <w:sz w:val="24"/>
          <w:szCs w:val="24"/>
        </w:rPr>
        <w:t>Human Development and Capabilities: Reimagining the university of the twenty-first century</w:t>
      </w:r>
      <w:r w:rsidR="00CF5256" w:rsidRPr="00DF5E96">
        <w:rPr>
          <w:rFonts w:ascii="Garamond" w:hAnsi="Garamond" w:cs="Times New Roman"/>
          <w:sz w:val="24"/>
          <w:szCs w:val="24"/>
        </w:rPr>
        <w:t>. London: Routledge.</w:t>
      </w:r>
    </w:p>
    <w:p w14:paraId="5CBD4609" w14:textId="7C2D2C5F" w:rsidR="00F821CC" w:rsidRDefault="00F821CC" w:rsidP="00F821CC">
      <w:pPr>
        <w:rPr>
          <w:rFonts w:ascii="Garamond" w:hAnsi="Garamond" w:cs="Times New Roman"/>
          <w:sz w:val="24"/>
          <w:szCs w:val="24"/>
        </w:rPr>
      </w:pPr>
      <w:r w:rsidRPr="00F821CC">
        <w:rPr>
          <w:rFonts w:ascii="Garamond" w:hAnsi="Garamond" w:cs="Times New Roman"/>
          <w:sz w:val="24"/>
          <w:szCs w:val="24"/>
        </w:rPr>
        <w:t>Fricker, M.</w:t>
      </w:r>
      <w:r w:rsidR="00DD1C97">
        <w:rPr>
          <w:rFonts w:ascii="Garamond" w:hAnsi="Garamond" w:cs="Times New Roman"/>
          <w:sz w:val="24"/>
          <w:szCs w:val="24"/>
        </w:rPr>
        <w:t xml:space="preserve"> </w:t>
      </w:r>
      <w:r w:rsidRPr="00F821CC">
        <w:rPr>
          <w:rFonts w:ascii="Garamond" w:hAnsi="Garamond" w:cs="Times New Roman"/>
          <w:sz w:val="24"/>
          <w:szCs w:val="24"/>
        </w:rPr>
        <w:t>(2017) Epistemic Contribution as a Central Human Capability, in G. Hull the Equal Society: Essays on Equality in Theory and Practice, Lexington Books.</w:t>
      </w:r>
    </w:p>
    <w:p w14:paraId="4771E50D" w14:textId="40C6252F" w:rsidR="00DD1C97" w:rsidRPr="00F821CC" w:rsidRDefault="00DD1C97" w:rsidP="00F821CC">
      <w:pPr>
        <w:rPr>
          <w:rFonts w:ascii="Garamond" w:hAnsi="Garamond" w:cs="Times New Roman"/>
          <w:sz w:val="24"/>
          <w:szCs w:val="24"/>
        </w:rPr>
      </w:pPr>
      <w:r>
        <w:rPr>
          <w:rFonts w:ascii="Garamond" w:hAnsi="Garamond" w:cs="Times New Roman"/>
          <w:sz w:val="24"/>
          <w:szCs w:val="24"/>
        </w:rPr>
        <w:t xml:space="preserve">McLean, M. (2018) in P. Ashwin and J. Case (eds) </w:t>
      </w:r>
      <w:r w:rsidRPr="00DD1C97">
        <w:rPr>
          <w:rFonts w:ascii="Garamond" w:hAnsi="Garamond" w:cs="Times New Roman"/>
          <w:i/>
          <w:sz w:val="24"/>
          <w:szCs w:val="24"/>
        </w:rPr>
        <w:t>Higher Education Pathways</w:t>
      </w:r>
      <w:r>
        <w:rPr>
          <w:rFonts w:ascii="Garamond" w:hAnsi="Garamond" w:cs="Times New Roman"/>
          <w:sz w:val="24"/>
          <w:szCs w:val="24"/>
        </w:rPr>
        <w:t>: African Minds</w:t>
      </w:r>
    </w:p>
    <w:p w14:paraId="575C23F7" w14:textId="0C8D48BB" w:rsidR="0046180A" w:rsidRDefault="0046180A" w:rsidP="00DF21E4">
      <w:pPr>
        <w:rPr>
          <w:rFonts w:ascii="Garamond" w:hAnsi="Garamond" w:cs="Times New Roman"/>
          <w:b/>
          <w:sz w:val="24"/>
          <w:szCs w:val="24"/>
        </w:rPr>
      </w:pPr>
      <w:proofErr w:type="spellStart"/>
      <w:r w:rsidRPr="00DF5E96">
        <w:rPr>
          <w:rFonts w:ascii="Garamond" w:hAnsi="Garamond" w:cs="Times New Roman"/>
          <w:sz w:val="24"/>
          <w:szCs w:val="24"/>
        </w:rPr>
        <w:t>Robeyns</w:t>
      </w:r>
      <w:proofErr w:type="spellEnd"/>
      <w:r w:rsidRPr="00DF5E96">
        <w:rPr>
          <w:rFonts w:ascii="Garamond" w:hAnsi="Garamond" w:cs="Times New Roman"/>
          <w:sz w:val="24"/>
          <w:szCs w:val="24"/>
        </w:rPr>
        <w:t xml:space="preserve">, I. (2017) </w:t>
      </w:r>
      <w:r w:rsidRPr="00DF5E96">
        <w:rPr>
          <w:rFonts w:ascii="Garamond" w:hAnsi="Garamond" w:cs="Times New Roman"/>
          <w:i/>
          <w:sz w:val="24"/>
          <w:szCs w:val="24"/>
        </w:rPr>
        <w:t>Wellbeing, Freedom and Social Justic</w:t>
      </w:r>
      <w:r w:rsidR="00DD1C97">
        <w:rPr>
          <w:rFonts w:ascii="Garamond" w:hAnsi="Garamond" w:cs="Times New Roman"/>
          <w:i/>
          <w:sz w:val="24"/>
          <w:szCs w:val="24"/>
        </w:rPr>
        <w:t>e</w:t>
      </w:r>
      <w:r w:rsidRPr="00DF5E96">
        <w:rPr>
          <w:rFonts w:ascii="Garamond" w:hAnsi="Garamond" w:cs="Times New Roman"/>
          <w:i/>
          <w:sz w:val="24"/>
          <w:szCs w:val="24"/>
        </w:rPr>
        <w:t>: The Capability approach Re-examined</w:t>
      </w:r>
      <w:r w:rsidRPr="00DF5E96">
        <w:rPr>
          <w:rFonts w:ascii="Garamond" w:hAnsi="Garamond" w:cs="Times New Roman"/>
          <w:sz w:val="24"/>
          <w:szCs w:val="24"/>
        </w:rPr>
        <w:t xml:space="preserve">. </w:t>
      </w:r>
      <w:r w:rsidR="00BE1C41" w:rsidRPr="00DF5E96">
        <w:rPr>
          <w:rFonts w:ascii="Garamond" w:hAnsi="Garamond" w:cs="Times New Roman"/>
          <w:sz w:val="24"/>
          <w:szCs w:val="24"/>
        </w:rPr>
        <w:t>Open Books Publishers</w:t>
      </w:r>
      <w:r w:rsidR="00BE1C41" w:rsidRPr="00DF5E96">
        <w:rPr>
          <w:rFonts w:ascii="Garamond" w:hAnsi="Garamond" w:cs="Times New Roman"/>
          <w:b/>
          <w:sz w:val="24"/>
          <w:szCs w:val="24"/>
        </w:rPr>
        <w:t>.</w:t>
      </w:r>
    </w:p>
    <w:p w14:paraId="2C789F12" w14:textId="16B15B56" w:rsidR="00AC4FCD" w:rsidRPr="00474697" w:rsidRDefault="00AC4FCD" w:rsidP="00DF21E4">
      <w:pPr>
        <w:rPr>
          <w:rFonts w:ascii="Garamond" w:hAnsi="Garamond" w:cs="Times New Roman"/>
          <w:sz w:val="24"/>
          <w:szCs w:val="24"/>
        </w:rPr>
      </w:pPr>
      <w:r w:rsidRPr="00474697">
        <w:rPr>
          <w:rFonts w:ascii="Garamond" w:hAnsi="Garamond" w:cs="Times New Roman"/>
          <w:sz w:val="24"/>
          <w:szCs w:val="24"/>
        </w:rPr>
        <w:t xml:space="preserve">Walker, M. (2006) </w:t>
      </w:r>
      <w:r w:rsidRPr="00474697">
        <w:rPr>
          <w:rFonts w:ascii="Garamond" w:hAnsi="Garamond" w:cs="Times New Roman"/>
          <w:i/>
          <w:sz w:val="24"/>
          <w:szCs w:val="24"/>
        </w:rPr>
        <w:t>Higher Education Pedagogies</w:t>
      </w:r>
      <w:r w:rsidR="00474697" w:rsidRPr="00474697">
        <w:rPr>
          <w:rFonts w:ascii="Garamond" w:hAnsi="Garamond" w:cs="Times New Roman"/>
          <w:sz w:val="24"/>
          <w:szCs w:val="24"/>
        </w:rPr>
        <w:t>. Maidenhead:</w:t>
      </w:r>
      <w:r w:rsidR="00474697">
        <w:rPr>
          <w:rFonts w:ascii="Garamond" w:hAnsi="Garamond" w:cs="Times New Roman"/>
          <w:sz w:val="24"/>
          <w:szCs w:val="24"/>
        </w:rPr>
        <w:t xml:space="preserve"> SRHE and Open University Press.</w:t>
      </w:r>
    </w:p>
    <w:p w14:paraId="775BAEA8" w14:textId="75B7DA20" w:rsidR="005D08FF" w:rsidRPr="00DF5E96" w:rsidRDefault="005D08FF" w:rsidP="00DF21E4">
      <w:pPr>
        <w:rPr>
          <w:rFonts w:ascii="Garamond" w:hAnsi="Garamond" w:cs="Times New Roman"/>
          <w:sz w:val="24"/>
          <w:szCs w:val="24"/>
        </w:rPr>
      </w:pPr>
      <w:r w:rsidRPr="00DF5E96">
        <w:rPr>
          <w:rFonts w:ascii="Garamond" w:hAnsi="Garamond" w:cs="Times New Roman"/>
          <w:sz w:val="24"/>
          <w:szCs w:val="24"/>
        </w:rPr>
        <w:t xml:space="preserve">Walker, M. and Mclean, M (2013) </w:t>
      </w:r>
      <w:r w:rsidRPr="00DF5E96">
        <w:rPr>
          <w:rFonts w:ascii="Garamond" w:hAnsi="Garamond" w:cs="Times New Roman"/>
          <w:i/>
          <w:sz w:val="24"/>
          <w:szCs w:val="24"/>
        </w:rPr>
        <w:t>Professional Education, Capabilities and the Public Good: The role of universities in promoting human development</w:t>
      </w:r>
      <w:r w:rsidRPr="00DF5E96">
        <w:rPr>
          <w:rFonts w:ascii="Garamond" w:hAnsi="Garamond" w:cs="Times New Roman"/>
          <w:sz w:val="24"/>
          <w:szCs w:val="24"/>
        </w:rPr>
        <w:t>.  London: Routledge</w:t>
      </w:r>
    </w:p>
    <w:p w14:paraId="2938077F" w14:textId="3804F107" w:rsidR="00B254EE" w:rsidRDefault="00B254EE" w:rsidP="00DF21E4">
      <w:pPr>
        <w:rPr>
          <w:rFonts w:ascii="Garamond" w:hAnsi="Garamond" w:cs="Times New Roman"/>
          <w:sz w:val="24"/>
          <w:szCs w:val="24"/>
        </w:rPr>
      </w:pPr>
      <w:r w:rsidRPr="00DF5E96">
        <w:rPr>
          <w:rFonts w:ascii="Garamond" w:hAnsi="Garamond" w:cs="Times New Roman"/>
          <w:sz w:val="24"/>
          <w:szCs w:val="24"/>
        </w:rPr>
        <w:t xml:space="preserve">Wilson-Strydom, M. (2015) </w:t>
      </w:r>
      <w:r w:rsidRPr="00DF5E96">
        <w:rPr>
          <w:rFonts w:ascii="Garamond" w:hAnsi="Garamond" w:cs="Times New Roman"/>
          <w:i/>
          <w:sz w:val="24"/>
          <w:szCs w:val="24"/>
        </w:rPr>
        <w:t>University Access and Success: Capabilities, diversity and social justice</w:t>
      </w:r>
      <w:r w:rsidRPr="00DF5E96">
        <w:rPr>
          <w:rFonts w:ascii="Garamond" w:hAnsi="Garamond" w:cs="Times New Roman"/>
          <w:sz w:val="24"/>
          <w:szCs w:val="24"/>
        </w:rPr>
        <w:t>. London: Routledge</w:t>
      </w:r>
      <w:r w:rsidR="00F821CC">
        <w:rPr>
          <w:rFonts w:ascii="Garamond" w:hAnsi="Garamond" w:cs="Times New Roman"/>
          <w:sz w:val="24"/>
          <w:szCs w:val="24"/>
        </w:rPr>
        <w:t>.</w:t>
      </w:r>
    </w:p>
    <w:p w14:paraId="76F6E557" w14:textId="77777777" w:rsidR="00F821CC" w:rsidRPr="00F821CC" w:rsidRDefault="00F821CC" w:rsidP="00F821CC">
      <w:pPr>
        <w:rPr>
          <w:rFonts w:ascii="Garamond" w:hAnsi="Garamond" w:cs="Times New Roman"/>
          <w:sz w:val="24"/>
          <w:szCs w:val="24"/>
        </w:rPr>
      </w:pPr>
      <w:r w:rsidRPr="00F821CC">
        <w:rPr>
          <w:rFonts w:ascii="Garamond" w:hAnsi="Garamond" w:cs="Times New Roman"/>
          <w:sz w:val="24"/>
          <w:szCs w:val="24"/>
        </w:rPr>
        <w:t xml:space="preserve">Morrow, W. (2009) </w:t>
      </w:r>
      <w:r w:rsidRPr="00F821CC">
        <w:rPr>
          <w:rFonts w:ascii="Garamond" w:hAnsi="Garamond" w:cs="Times New Roman"/>
          <w:i/>
          <w:sz w:val="24"/>
          <w:szCs w:val="24"/>
        </w:rPr>
        <w:t>The Bounds of Democracy: Epistemological Access in Higher Education</w:t>
      </w:r>
      <w:r w:rsidRPr="00F821CC">
        <w:rPr>
          <w:rFonts w:ascii="Garamond" w:hAnsi="Garamond" w:cs="Times New Roman"/>
          <w:sz w:val="24"/>
          <w:szCs w:val="24"/>
        </w:rPr>
        <w:t>. South Africa: HSRC Press.</w:t>
      </w:r>
    </w:p>
    <w:p w14:paraId="000815D6" w14:textId="1535B3F1" w:rsidR="003947BD" w:rsidRPr="00DF5E96" w:rsidRDefault="00F821CC">
      <w:pPr>
        <w:rPr>
          <w:rFonts w:ascii="Garamond" w:hAnsi="Garamond"/>
          <w:sz w:val="24"/>
          <w:szCs w:val="24"/>
        </w:rPr>
      </w:pPr>
      <w:proofErr w:type="spellStart"/>
      <w:r w:rsidRPr="00F821CC">
        <w:rPr>
          <w:rFonts w:ascii="Garamond" w:hAnsi="Garamond" w:cs="Times New Roman"/>
          <w:sz w:val="24"/>
          <w:szCs w:val="24"/>
        </w:rPr>
        <w:t>Yosso</w:t>
      </w:r>
      <w:proofErr w:type="spellEnd"/>
      <w:r w:rsidRPr="00F821CC">
        <w:rPr>
          <w:rFonts w:ascii="Garamond" w:hAnsi="Garamond" w:cs="Times New Roman"/>
          <w:sz w:val="24"/>
          <w:szCs w:val="24"/>
        </w:rPr>
        <w:t>, T. J. (2005) Whose culture has capital? A critical race theory</w:t>
      </w:r>
      <w:r>
        <w:rPr>
          <w:rFonts w:ascii="Garamond" w:hAnsi="Garamond" w:cs="Times New Roman"/>
          <w:sz w:val="24"/>
          <w:szCs w:val="24"/>
        </w:rPr>
        <w:t xml:space="preserve"> </w:t>
      </w:r>
      <w:r w:rsidRPr="00F821CC">
        <w:rPr>
          <w:rFonts w:ascii="Garamond" w:hAnsi="Garamond" w:cs="Times New Roman"/>
          <w:sz w:val="24"/>
          <w:szCs w:val="24"/>
        </w:rPr>
        <w:t xml:space="preserve">discussion of community cultural wealth, </w:t>
      </w:r>
      <w:r w:rsidRPr="00BC5D3D">
        <w:rPr>
          <w:rFonts w:ascii="Garamond" w:hAnsi="Garamond" w:cs="Times New Roman"/>
          <w:i/>
          <w:sz w:val="24"/>
          <w:szCs w:val="24"/>
        </w:rPr>
        <w:t>Race Ethnicity and Education</w:t>
      </w:r>
      <w:r w:rsidRPr="00F821CC">
        <w:rPr>
          <w:rFonts w:ascii="Garamond" w:hAnsi="Garamond" w:cs="Times New Roman"/>
          <w:sz w:val="24"/>
          <w:szCs w:val="24"/>
        </w:rPr>
        <w:t>, 8:1, 69-91</w:t>
      </w:r>
      <w:bookmarkStart w:id="0" w:name="_GoBack"/>
      <w:bookmarkEnd w:id="0"/>
    </w:p>
    <w:sectPr w:rsidR="003947BD" w:rsidRPr="00DF5E96" w:rsidSect="00DF5E96">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A1456" w14:textId="77777777" w:rsidR="000937BC" w:rsidRDefault="000937BC" w:rsidP="00B254EE">
      <w:pPr>
        <w:spacing w:after="0" w:line="240" w:lineRule="auto"/>
      </w:pPr>
      <w:r>
        <w:separator/>
      </w:r>
    </w:p>
  </w:endnote>
  <w:endnote w:type="continuationSeparator" w:id="0">
    <w:p w14:paraId="6E3E26AC" w14:textId="77777777" w:rsidR="000937BC" w:rsidRDefault="000937BC" w:rsidP="00B25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48D22" w14:textId="77777777" w:rsidR="000937BC" w:rsidRDefault="000937BC" w:rsidP="00B254EE">
      <w:pPr>
        <w:spacing w:after="0" w:line="240" w:lineRule="auto"/>
      </w:pPr>
      <w:r>
        <w:separator/>
      </w:r>
    </w:p>
  </w:footnote>
  <w:footnote w:type="continuationSeparator" w:id="0">
    <w:p w14:paraId="4D95A443" w14:textId="77777777" w:rsidR="000937BC" w:rsidRDefault="000937BC" w:rsidP="00B25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8134798"/>
      <w:docPartObj>
        <w:docPartGallery w:val="Page Numbers (Top of Page)"/>
        <w:docPartUnique/>
      </w:docPartObj>
    </w:sdtPr>
    <w:sdtEndPr>
      <w:rPr>
        <w:noProof/>
      </w:rPr>
    </w:sdtEndPr>
    <w:sdtContent>
      <w:p w14:paraId="1F033D68" w14:textId="7E2251C1" w:rsidR="00B254EE" w:rsidRDefault="00B254EE">
        <w:pPr>
          <w:pStyle w:val="Header"/>
          <w:jc w:val="center"/>
        </w:pPr>
        <w:r>
          <w:fldChar w:fldCharType="begin"/>
        </w:r>
        <w:r>
          <w:instrText xml:space="preserve"> PAGE   \* MERGEFORMAT </w:instrText>
        </w:r>
        <w:r>
          <w:fldChar w:fldCharType="separate"/>
        </w:r>
        <w:r w:rsidR="00B7280A">
          <w:rPr>
            <w:noProof/>
          </w:rPr>
          <w:t>1</w:t>
        </w:r>
        <w:r>
          <w:rPr>
            <w:noProof/>
          </w:rPr>
          <w:fldChar w:fldCharType="end"/>
        </w:r>
      </w:p>
    </w:sdtContent>
  </w:sdt>
  <w:p w14:paraId="77476270" w14:textId="77777777" w:rsidR="00B254EE" w:rsidRDefault="00B254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23B5F"/>
    <w:multiLevelType w:val="hybridMultilevel"/>
    <w:tmpl w:val="F52E8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F7086E"/>
    <w:multiLevelType w:val="hybridMultilevel"/>
    <w:tmpl w:val="3034B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7BD"/>
    <w:rsid w:val="00086758"/>
    <w:rsid w:val="000937BC"/>
    <w:rsid w:val="001824E2"/>
    <w:rsid w:val="00291D26"/>
    <w:rsid w:val="003947BD"/>
    <w:rsid w:val="00423233"/>
    <w:rsid w:val="0046180A"/>
    <w:rsid w:val="00474697"/>
    <w:rsid w:val="005D08FF"/>
    <w:rsid w:val="00640998"/>
    <w:rsid w:val="00704089"/>
    <w:rsid w:val="0077446E"/>
    <w:rsid w:val="007B30AD"/>
    <w:rsid w:val="007F7F53"/>
    <w:rsid w:val="00932DF2"/>
    <w:rsid w:val="009F254C"/>
    <w:rsid w:val="00A53C6F"/>
    <w:rsid w:val="00AC0573"/>
    <w:rsid w:val="00AC4FCD"/>
    <w:rsid w:val="00B254EE"/>
    <w:rsid w:val="00B7280A"/>
    <w:rsid w:val="00BC5D3D"/>
    <w:rsid w:val="00BE1C41"/>
    <w:rsid w:val="00CF5256"/>
    <w:rsid w:val="00DD1C97"/>
    <w:rsid w:val="00DF21E4"/>
    <w:rsid w:val="00DF3733"/>
    <w:rsid w:val="00DF5E96"/>
    <w:rsid w:val="00E26939"/>
    <w:rsid w:val="00E92992"/>
    <w:rsid w:val="00EE5B80"/>
    <w:rsid w:val="00F05189"/>
    <w:rsid w:val="00F74B19"/>
    <w:rsid w:val="00F821CC"/>
    <w:rsid w:val="00F91FA3"/>
    <w:rsid w:val="00FD5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9B1B0"/>
  <w15:chartTrackingRefBased/>
  <w15:docId w15:val="{363BAD6F-6D23-4E48-9B1F-61F0E6A1A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1E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C41"/>
    <w:pPr>
      <w:ind w:left="720"/>
      <w:contextualSpacing/>
    </w:pPr>
  </w:style>
  <w:style w:type="paragraph" w:styleId="Header">
    <w:name w:val="header"/>
    <w:basedOn w:val="Normal"/>
    <w:link w:val="HeaderChar"/>
    <w:uiPriority w:val="99"/>
    <w:unhideWhenUsed/>
    <w:rsid w:val="00B254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4EE"/>
  </w:style>
  <w:style w:type="paragraph" w:styleId="Footer">
    <w:name w:val="footer"/>
    <w:basedOn w:val="Normal"/>
    <w:link w:val="FooterChar"/>
    <w:uiPriority w:val="99"/>
    <w:unhideWhenUsed/>
    <w:rsid w:val="00B254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4EE"/>
  </w:style>
  <w:style w:type="table" w:styleId="TableGrid">
    <w:name w:val="Table Grid"/>
    <w:basedOn w:val="TableNormal"/>
    <w:uiPriority w:val="39"/>
    <w:rsid w:val="00086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5D3D"/>
    <w:rPr>
      <w:color w:val="0563C1" w:themeColor="hyperlink"/>
      <w:u w:val="single"/>
    </w:rPr>
  </w:style>
  <w:style w:type="character" w:customStyle="1" w:styleId="UnresolvedMention">
    <w:name w:val="Unresolved Mention"/>
    <w:basedOn w:val="DefaultParagraphFont"/>
    <w:uiPriority w:val="99"/>
    <w:semiHidden/>
    <w:unhideWhenUsed/>
    <w:rsid w:val="00BC5D3D"/>
    <w:rPr>
      <w:color w:val="605E5C"/>
      <w:shd w:val="clear" w:color="auto" w:fill="E1DFDD"/>
    </w:rPr>
  </w:style>
  <w:style w:type="paragraph" w:styleId="BalloonText">
    <w:name w:val="Balloon Text"/>
    <w:basedOn w:val="Normal"/>
    <w:link w:val="BalloonTextChar"/>
    <w:uiPriority w:val="99"/>
    <w:semiHidden/>
    <w:unhideWhenUsed/>
    <w:rsid w:val="00B728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8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20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onica.mclean@nottingh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McLean</dc:creator>
  <cp:keywords/>
  <dc:description/>
  <cp:lastModifiedBy>Kate Holmes</cp:lastModifiedBy>
  <cp:revision>3</cp:revision>
  <cp:lastPrinted>2019-03-05T15:40:00Z</cp:lastPrinted>
  <dcterms:created xsi:type="dcterms:W3CDTF">2019-03-05T15:35:00Z</dcterms:created>
  <dcterms:modified xsi:type="dcterms:W3CDTF">2019-03-05T15:41:00Z</dcterms:modified>
</cp:coreProperties>
</file>